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98632" w14:textId="77777777" w:rsidR="00F903F3" w:rsidRPr="00B600EB" w:rsidRDefault="00000000" w:rsidP="00DC152F">
      <w:pPr>
        <w:pStyle w:val="Body1"/>
        <w:spacing w:after="0" w:line="240" w:lineRule="auto"/>
        <w:jc w:val="center"/>
        <w:rPr>
          <w:rFonts w:ascii="Times New Roman" w:hAnsi="Times New Roman"/>
          <w:b/>
          <w:bCs/>
          <w:sz w:val="20"/>
          <w:szCs w:val="20"/>
          <w:lang w:val="en-US"/>
        </w:rPr>
      </w:pPr>
      <w:r w:rsidRPr="00B600EB">
        <w:rPr>
          <w:rFonts w:ascii="Times New Roman" w:hAnsi="Times New Roman"/>
          <w:b/>
          <w:bCs/>
          <w:sz w:val="20"/>
          <w:szCs w:val="20"/>
          <w:lang w:val="en-US"/>
        </w:rPr>
        <w:t>Disclaimer</w:t>
      </w:r>
    </w:p>
    <w:p w14:paraId="39598633" w14:textId="77777777" w:rsidR="00E56208" w:rsidRPr="00B600EB" w:rsidRDefault="00E56208" w:rsidP="00DC152F">
      <w:pPr>
        <w:pStyle w:val="Body1"/>
        <w:spacing w:after="0" w:line="240" w:lineRule="auto"/>
        <w:jc w:val="center"/>
        <w:rPr>
          <w:rFonts w:ascii="Times New Roman" w:hAnsi="Times New Roman"/>
          <w:b/>
          <w:bCs/>
          <w:sz w:val="20"/>
          <w:szCs w:val="20"/>
          <w:lang w:val="en-US"/>
        </w:rPr>
      </w:pPr>
    </w:p>
    <w:p w14:paraId="39598634" w14:textId="77777777" w:rsidR="00E56208" w:rsidRPr="00DC152F" w:rsidRDefault="00000000" w:rsidP="00DC152F">
      <w:pPr>
        <w:pStyle w:val="Body1"/>
        <w:spacing w:after="0" w:line="240" w:lineRule="auto"/>
        <w:rPr>
          <w:rFonts w:ascii="Times New Roman" w:hAnsi="Times New Roman"/>
          <w:b/>
          <w:bCs/>
          <w:sz w:val="20"/>
          <w:szCs w:val="20"/>
          <w:lang w:val="en-US"/>
        </w:rPr>
      </w:pPr>
      <w:r w:rsidRPr="00DC152F">
        <w:rPr>
          <w:rFonts w:ascii="Times New Roman" w:hAnsi="Times New Roman"/>
          <w:b/>
          <w:bCs/>
          <w:sz w:val="20"/>
          <w:szCs w:val="20"/>
          <w:lang w:val="en-US"/>
        </w:rPr>
        <w:t>NOT FOR ACCESS IN OR BY, OR DISTRIBUTION OR TRANSMISSION IN, INTO OR TO, DIRECTLY OR INDIRECTLY, THE UNITED STATES OF AMERICA (INCLUDING ITS TERRITORIES AND POSSESSIONS), ANY STATE OF THE UNITED STATES AND THE DISTRICT OF COLUMBIA (THE “UNITED STATES”) OR ANY OTHER JURISDICTION WHERE IT IS UNLAWFUL TO DO SO.</w:t>
      </w:r>
    </w:p>
    <w:p w14:paraId="39598635" w14:textId="77777777" w:rsidR="00E56208" w:rsidRPr="00DC152F" w:rsidRDefault="00E56208" w:rsidP="00DC152F">
      <w:pPr>
        <w:pStyle w:val="Body1"/>
        <w:spacing w:after="0" w:line="240" w:lineRule="auto"/>
        <w:rPr>
          <w:rFonts w:ascii="Times New Roman" w:hAnsi="Times New Roman"/>
          <w:b/>
          <w:bCs/>
          <w:sz w:val="20"/>
          <w:szCs w:val="20"/>
          <w:lang w:val="en-US"/>
        </w:rPr>
      </w:pPr>
    </w:p>
    <w:p w14:paraId="39598636" w14:textId="77777777" w:rsidR="00E56208" w:rsidRPr="00B600EB" w:rsidRDefault="00000000" w:rsidP="00DC152F">
      <w:pPr>
        <w:pStyle w:val="Body1"/>
        <w:spacing w:after="0" w:line="240" w:lineRule="auto"/>
        <w:rPr>
          <w:rFonts w:ascii="Times New Roman" w:hAnsi="Times New Roman"/>
          <w:sz w:val="20"/>
          <w:szCs w:val="20"/>
          <w:lang w:val="en-US"/>
        </w:rPr>
      </w:pPr>
      <w:r w:rsidRPr="00DC152F">
        <w:rPr>
          <w:rFonts w:ascii="Times New Roman" w:hAnsi="Times New Roman"/>
          <w:b/>
          <w:bCs/>
          <w:sz w:val="20"/>
          <w:szCs w:val="20"/>
          <w:lang w:val="en-US"/>
        </w:rPr>
        <w:t>THESE MATERIALS ARE NOT DIRECTED AT OR INTENDED TO BE ACCESSED BY PERSONS LOCATED OUTSIDE INDIA.</w:t>
      </w:r>
    </w:p>
    <w:p w14:paraId="39598637" w14:textId="77777777" w:rsidR="00E56208" w:rsidRPr="00B600EB" w:rsidRDefault="00E56208" w:rsidP="00DC152F">
      <w:pPr>
        <w:pStyle w:val="Body1"/>
        <w:spacing w:after="0" w:line="240" w:lineRule="auto"/>
        <w:rPr>
          <w:rFonts w:ascii="Times New Roman" w:hAnsi="Times New Roman"/>
          <w:sz w:val="20"/>
          <w:szCs w:val="20"/>
          <w:lang w:val="en-US"/>
        </w:rPr>
      </w:pPr>
    </w:p>
    <w:p w14:paraId="39598638" w14:textId="77777777" w:rsidR="00E56208" w:rsidRPr="00B600EB"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t>IMPORTANT: You must read and agree with the terms and conditions of the following disclaimer before continuing.</w:t>
      </w:r>
    </w:p>
    <w:p w14:paraId="39598639" w14:textId="77777777" w:rsidR="00E56208" w:rsidRPr="00B600EB" w:rsidRDefault="00E56208" w:rsidP="00DC152F">
      <w:pPr>
        <w:pStyle w:val="Body1"/>
        <w:spacing w:after="0" w:line="240" w:lineRule="auto"/>
        <w:rPr>
          <w:rFonts w:ascii="Times New Roman" w:hAnsi="Times New Roman"/>
          <w:sz w:val="20"/>
          <w:szCs w:val="20"/>
          <w:lang w:val="en-US"/>
        </w:rPr>
      </w:pPr>
    </w:p>
    <w:p w14:paraId="3959863A" w14:textId="1BAA1A5B" w:rsidR="00E56208" w:rsidRPr="00B600EB" w:rsidRDefault="00000000" w:rsidP="001B164C">
      <w:pPr>
        <w:pStyle w:val="Body1"/>
        <w:spacing w:after="0" w:line="240" w:lineRule="auto"/>
        <w:rPr>
          <w:rFonts w:ascii="Times New Roman" w:hAnsi="Times New Roman"/>
          <w:sz w:val="20"/>
          <w:szCs w:val="20"/>
          <w:lang w:val="en-US"/>
        </w:rPr>
      </w:pPr>
      <w:r w:rsidRPr="001B164C">
        <w:rPr>
          <w:rFonts w:ascii="Times New Roman" w:eastAsia="Times New Roman" w:hAnsi="Times New Roman"/>
          <w:color w:val="000000"/>
          <w:sz w:val="20"/>
          <w:szCs w:val="20"/>
          <w:lang w:val="en-US" w:eastAsia="zh-CN"/>
        </w:rPr>
        <w:t>The following disclaimer applies to the red herring prospectus of Aegis Vopak Terminals Limited (the “</w:t>
      </w:r>
      <w:r w:rsidRPr="001B164C">
        <w:rPr>
          <w:rFonts w:ascii="Times New Roman" w:eastAsia="Times New Roman" w:hAnsi="Times New Roman"/>
          <w:b/>
          <w:bCs/>
          <w:color w:val="000000"/>
          <w:sz w:val="20"/>
          <w:szCs w:val="20"/>
          <w:lang w:val="en-US" w:eastAsia="zh-CN"/>
        </w:rPr>
        <w:t>Company</w:t>
      </w:r>
      <w:r w:rsidRPr="001B164C">
        <w:rPr>
          <w:rFonts w:ascii="Times New Roman" w:eastAsia="Times New Roman" w:hAnsi="Times New Roman"/>
          <w:color w:val="000000"/>
          <w:sz w:val="20"/>
          <w:szCs w:val="20"/>
          <w:lang w:val="en-US" w:eastAsia="zh-CN"/>
        </w:rPr>
        <w:t>”) dated May 20, 2025 (the “</w:t>
      </w:r>
      <w:r w:rsidRPr="001B164C">
        <w:rPr>
          <w:rFonts w:ascii="Times New Roman" w:eastAsia="Times New Roman" w:hAnsi="Times New Roman"/>
          <w:b/>
          <w:bCs/>
          <w:color w:val="000000"/>
          <w:sz w:val="20"/>
          <w:szCs w:val="20"/>
          <w:lang w:val="en-US" w:eastAsia="zh-CN"/>
        </w:rPr>
        <w:t>Red Herring Prospectus</w:t>
      </w:r>
      <w:r w:rsidRPr="001B164C">
        <w:rPr>
          <w:rFonts w:ascii="Times New Roman" w:eastAsia="Times New Roman" w:hAnsi="Times New Roman"/>
          <w:color w:val="000000"/>
          <w:sz w:val="20"/>
          <w:szCs w:val="20"/>
          <w:lang w:val="en-US" w:eastAsia="zh-CN"/>
        </w:rPr>
        <w:t xml:space="preserve">”) filed with the Registrar of Companies, </w:t>
      </w:r>
      <w:r w:rsidRPr="001B164C">
        <w:rPr>
          <w:rFonts w:ascii="Times New Roman" w:eastAsia="Times New Roman" w:hAnsi="Times New Roman"/>
          <w:color w:val="000000"/>
          <w:sz w:val="20"/>
          <w:szCs w:val="20"/>
          <w:lang w:eastAsia="zh-CN"/>
        </w:rPr>
        <w:t>Gujarat at Ahmedabad  (“</w:t>
      </w:r>
      <w:r w:rsidRPr="001B164C">
        <w:rPr>
          <w:rFonts w:ascii="Times New Roman" w:eastAsia="Times New Roman" w:hAnsi="Times New Roman"/>
          <w:b/>
          <w:bCs/>
          <w:color w:val="000000"/>
          <w:sz w:val="20"/>
          <w:szCs w:val="20"/>
          <w:lang w:eastAsia="zh-CN"/>
        </w:rPr>
        <w:t>RoC</w:t>
      </w:r>
      <w:r w:rsidRPr="001B164C">
        <w:rPr>
          <w:rFonts w:ascii="Times New Roman" w:eastAsia="Times New Roman" w:hAnsi="Times New Roman"/>
          <w:color w:val="000000"/>
          <w:sz w:val="20"/>
          <w:szCs w:val="20"/>
          <w:lang w:eastAsia="zh-CN"/>
        </w:rPr>
        <w:t>”) and</w:t>
      </w:r>
      <w:r w:rsidRPr="001B164C">
        <w:rPr>
          <w:rFonts w:ascii="Times New Roman" w:eastAsia="Times New Roman" w:hAnsi="Times New Roman"/>
          <w:color w:val="000000"/>
          <w:sz w:val="20"/>
          <w:szCs w:val="20"/>
          <w:lang w:val="en-US" w:eastAsia="zh-CN"/>
        </w:rPr>
        <w:t xml:space="preserve"> submitted to the Securities and Exchange Board of India (the “</w:t>
      </w:r>
      <w:r w:rsidRPr="001B164C">
        <w:rPr>
          <w:rFonts w:ascii="Times New Roman" w:eastAsia="Times New Roman" w:hAnsi="Times New Roman"/>
          <w:b/>
          <w:color w:val="000000"/>
          <w:sz w:val="20"/>
          <w:szCs w:val="20"/>
          <w:lang w:val="en-US" w:eastAsia="zh-CN"/>
        </w:rPr>
        <w:t>SEBI</w:t>
      </w:r>
      <w:r w:rsidRPr="001B164C">
        <w:rPr>
          <w:rFonts w:ascii="Times New Roman" w:eastAsia="Times New Roman" w:hAnsi="Times New Roman"/>
          <w:color w:val="000000"/>
          <w:sz w:val="20"/>
          <w:szCs w:val="20"/>
          <w:lang w:val="en-US" w:eastAsia="zh-CN"/>
        </w:rPr>
        <w:t>”), BSE Limited (“</w:t>
      </w:r>
      <w:r w:rsidRPr="001B164C">
        <w:rPr>
          <w:rFonts w:ascii="Times New Roman" w:eastAsia="Times New Roman" w:hAnsi="Times New Roman"/>
          <w:b/>
          <w:bCs/>
          <w:color w:val="000000"/>
          <w:sz w:val="20"/>
          <w:szCs w:val="20"/>
          <w:lang w:val="en-US" w:eastAsia="zh-CN"/>
        </w:rPr>
        <w:t>BSE</w:t>
      </w:r>
      <w:r w:rsidRPr="001B164C">
        <w:rPr>
          <w:rFonts w:ascii="Times New Roman" w:eastAsia="Times New Roman" w:hAnsi="Times New Roman"/>
          <w:color w:val="000000"/>
          <w:sz w:val="20"/>
          <w:szCs w:val="20"/>
          <w:lang w:val="en-US" w:eastAsia="zh-CN"/>
        </w:rPr>
        <w:t>”) and National Stock Exchange of India Limited (“</w:t>
      </w:r>
      <w:r w:rsidRPr="001B164C">
        <w:rPr>
          <w:rFonts w:ascii="Times New Roman" w:eastAsia="Times New Roman" w:hAnsi="Times New Roman"/>
          <w:b/>
          <w:bCs/>
          <w:color w:val="000000"/>
          <w:sz w:val="20"/>
          <w:szCs w:val="20"/>
          <w:lang w:val="en-US" w:eastAsia="zh-CN"/>
        </w:rPr>
        <w:t>NSE</w:t>
      </w:r>
      <w:r w:rsidRPr="001B164C">
        <w:rPr>
          <w:rFonts w:ascii="Times New Roman" w:eastAsia="Times New Roman" w:hAnsi="Times New Roman"/>
          <w:color w:val="000000"/>
          <w:sz w:val="20"/>
          <w:szCs w:val="20"/>
          <w:lang w:val="en-US" w:eastAsia="zh-CN"/>
        </w:rPr>
        <w:t>”, and together with BSE, the “</w:t>
      </w:r>
      <w:r w:rsidRPr="001B164C">
        <w:rPr>
          <w:rFonts w:ascii="Times New Roman" w:eastAsia="Times New Roman" w:hAnsi="Times New Roman"/>
          <w:b/>
          <w:bCs/>
          <w:color w:val="000000"/>
          <w:sz w:val="20"/>
          <w:szCs w:val="20"/>
          <w:lang w:val="en-US" w:eastAsia="zh-CN"/>
        </w:rPr>
        <w:t>Stock Exchanges</w:t>
      </w:r>
      <w:r w:rsidRPr="001B164C">
        <w:rPr>
          <w:rFonts w:ascii="Times New Roman" w:eastAsia="Times New Roman" w:hAnsi="Times New Roman"/>
          <w:color w:val="000000"/>
          <w:sz w:val="20"/>
          <w:szCs w:val="20"/>
          <w:lang w:val="en-US" w:eastAsia="zh-CN"/>
        </w:rPr>
        <w:t>”)</w:t>
      </w:r>
      <w:r w:rsidR="00FD7F29" w:rsidRPr="00B600EB">
        <w:rPr>
          <w:rFonts w:ascii="Times New Roman" w:hAnsi="Times New Roman"/>
          <w:sz w:val="20"/>
          <w:szCs w:val="20"/>
          <w:lang w:val="en-US"/>
        </w:rPr>
        <w:t>, as well as the audio visual film of the Company (the “</w:t>
      </w:r>
      <w:r w:rsidR="00FD7F29" w:rsidRPr="00B600EB">
        <w:rPr>
          <w:rFonts w:ascii="Times New Roman" w:hAnsi="Times New Roman"/>
          <w:b/>
          <w:bCs/>
          <w:sz w:val="20"/>
          <w:szCs w:val="20"/>
          <w:lang w:val="en-US"/>
        </w:rPr>
        <w:t>IPO AV</w:t>
      </w:r>
      <w:r w:rsidR="00FD7F29" w:rsidRPr="00B600EB">
        <w:rPr>
          <w:rFonts w:ascii="Times New Roman" w:hAnsi="Times New Roman"/>
          <w:sz w:val="20"/>
          <w:szCs w:val="20"/>
          <w:lang w:val="en-US"/>
        </w:rPr>
        <w:t xml:space="preserve">”), each </w:t>
      </w:r>
      <w:r w:rsidR="00FD7F29" w:rsidRPr="00B600EB">
        <w:rPr>
          <w:rFonts w:ascii="Times New Roman" w:eastAsia="Times New Roman" w:hAnsi="Times New Roman"/>
          <w:color w:val="000000"/>
          <w:sz w:val="20"/>
          <w:szCs w:val="20"/>
          <w:lang w:val="en-US" w:eastAsia="zh-CN"/>
        </w:rPr>
        <w:t xml:space="preserve">in connection with the </w:t>
      </w:r>
      <w:r w:rsidR="00683330">
        <w:rPr>
          <w:rFonts w:ascii="Times New Roman" w:eastAsia="Times New Roman" w:hAnsi="Times New Roman"/>
          <w:color w:val="000000"/>
          <w:sz w:val="20"/>
          <w:szCs w:val="20"/>
          <w:lang w:val="en-US" w:eastAsia="zh-CN"/>
        </w:rPr>
        <w:t xml:space="preserve">proposed </w:t>
      </w:r>
      <w:r w:rsidR="00FD7F29" w:rsidRPr="00B600EB">
        <w:rPr>
          <w:rFonts w:ascii="Times New Roman" w:eastAsia="Times New Roman" w:hAnsi="Times New Roman"/>
          <w:color w:val="000000"/>
          <w:sz w:val="20"/>
          <w:szCs w:val="20"/>
          <w:lang w:val="en-US" w:eastAsia="zh-CN"/>
        </w:rPr>
        <w:t>initial public offering of equity shares of the Company (the “</w:t>
      </w:r>
      <w:r>
        <w:rPr>
          <w:rFonts w:ascii="Times New Roman" w:eastAsia="Times New Roman" w:hAnsi="Times New Roman"/>
          <w:b/>
          <w:bCs/>
          <w:color w:val="000000"/>
          <w:sz w:val="20"/>
          <w:szCs w:val="20"/>
          <w:lang w:val="en-US" w:eastAsia="zh-CN"/>
        </w:rPr>
        <w:t>Issue</w:t>
      </w:r>
      <w:r w:rsidR="00FD7F29" w:rsidRPr="00B600EB">
        <w:rPr>
          <w:rFonts w:ascii="Times New Roman" w:eastAsia="Times New Roman" w:hAnsi="Times New Roman"/>
          <w:color w:val="000000"/>
          <w:sz w:val="20"/>
          <w:szCs w:val="20"/>
          <w:lang w:val="en-US" w:eastAsia="zh-CN"/>
        </w:rPr>
        <w:t>”)</w:t>
      </w:r>
      <w:r w:rsidR="00FD7F29" w:rsidRPr="00B600EB">
        <w:rPr>
          <w:rFonts w:ascii="Times New Roman" w:hAnsi="Times New Roman"/>
          <w:sz w:val="20"/>
          <w:szCs w:val="20"/>
          <w:lang w:val="en-US"/>
        </w:rPr>
        <w:t>.</w:t>
      </w:r>
    </w:p>
    <w:p w14:paraId="3959863B" w14:textId="77777777" w:rsidR="00E56208" w:rsidRPr="00B600EB" w:rsidRDefault="00E56208" w:rsidP="00DC152F">
      <w:pPr>
        <w:pStyle w:val="Body1"/>
        <w:spacing w:after="0" w:line="240" w:lineRule="auto"/>
        <w:rPr>
          <w:rFonts w:ascii="Times New Roman" w:hAnsi="Times New Roman"/>
          <w:sz w:val="20"/>
          <w:szCs w:val="20"/>
          <w:lang w:val="en-US"/>
        </w:rPr>
      </w:pPr>
    </w:p>
    <w:p w14:paraId="3959863C" w14:textId="2DFA66B7" w:rsidR="00E56208" w:rsidRPr="00B600EB"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t>THE RED HERRING PROSPECTUS IS BEING MADE AVAILABLE ON THIS WEBSITE IN ELECTRONIC FORM SOLELY TO COMPLY WITH THE SECURITIES AND EXCHANGE BOARD OF INDIA (ISSUE OF CAPITAL AND DISCLOSURE REQUIREMENTS) REGULATIONS, 2018, AS AMENDED (“</w:t>
      </w:r>
      <w:r w:rsidRPr="00B600EB">
        <w:rPr>
          <w:rFonts w:ascii="Times New Roman" w:hAnsi="Times New Roman"/>
          <w:b/>
          <w:bCs/>
          <w:sz w:val="20"/>
          <w:szCs w:val="20"/>
          <w:lang w:val="en-US"/>
        </w:rPr>
        <w:t>SEBI ICDR REGULATIONS</w:t>
      </w:r>
      <w:r w:rsidRPr="00B600EB">
        <w:rPr>
          <w:rFonts w:ascii="Times New Roman" w:hAnsi="Times New Roman"/>
          <w:sz w:val="20"/>
          <w:szCs w:val="20"/>
          <w:lang w:val="en-US"/>
        </w:rPr>
        <w:t xml:space="preserve">”). THE IPO AV IS BEING MADE AVAILABLE ON THIS WEBSITE IN ACCORDANCE WITH CIRCULAR ON “AUDIOVISUAL (AV) PRESENTATION OF DISCLOSURES MADE IN PUBLIC ISSUE OFFER DOCUMENTS” DATED MAY 24, 2024, ISSUED BY THE SECURITIES AND EXCHANGE BOARD OF INDIA. The </w:t>
      </w:r>
      <w:r w:rsidR="00C005A3">
        <w:rPr>
          <w:rFonts w:ascii="Times New Roman" w:hAnsi="Times New Roman"/>
          <w:sz w:val="20"/>
          <w:szCs w:val="20"/>
          <w:lang w:val="en-US"/>
        </w:rPr>
        <w:t>Red Herring Prospectus</w:t>
      </w:r>
      <w:r w:rsidRPr="00B600EB">
        <w:rPr>
          <w:rFonts w:ascii="Times New Roman" w:hAnsi="Times New Roman"/>
          <w:sz w:val="20"/>
          <w:szCs w:val="20"/>
          <w:lang w:val="en-US"/>
        </w:rPr>
        <w:t xml:space="preserve"> has been hosted on this website as prescribed under Regulation 26 of the SEBI ICDR Regulations. You are advised to read this disclaimer carefully before reading, accessing or making any other use of the </w:t>
      </w:r>
      <w:r w:rsidR="00C005A3" w:rsidRPr="00C005A3">
        <w:rPr>
          <w:rFonts w:ascii="Times New Roman" w:eastAsia="Times New Roman" w:hAnsi="Times New Roman"/>
          <w:color w:val="000000"/>
          <w:sz w:val="20"/>
          <w:szCs w:val="20"/>
          <w:lang w:val="en-US" w:eastAsia="zh-CN"/>
        </w:rPr>
        <w:t>Red Herring Prospectus</w:t>
      </w:r>
      <w:r w:rsidRPr="00B600EB">
        <w:rPr>
          <w:rFonts w:ascii="Times New Roman" w:hAnsi="Times New Roman"/>
          <w:sz w:val="20"/>
          <w:szCs w:val="20"/>
          <w:lang w:val="en-US"/>
        </w:rPr>
        <w:t xml:space="preserve"> and the IPO AV. In accessing the </w:t>
      </w:r>
      <w:r w:rsidR="00C005A3">
        <w:rPr>
          <w:rFonts w:ascii="Times New Roman" w:hAnsi="Times New Roman"/>
          <w:sz w:val="20"/>
          <w:szCs w:val="20"/>
          <w:lang w:val="en-US"/>
        </w:rPr>
        <w:t>Red Herring Prospectus</w:t>
      </w:r>
      <w:r w:rsidRPr="00B600EB">
        <w:rPr>
          <w:rFonts w:ascii="Times New Roman" w:hAnsi="Times New Roman"/>
          <w:sz w:val="20"/>
          <w:szCs w:val="20"/>
          <w:lang w:val="en-US"/>
        </w:rPr>
        <w:t xml:space="preserve"> and IPO AV, you agree to be bound by the following terms and conditions, including any modifications to them from time to time. Each of the </w:t>
      </w:r>
      <w:r w:rsidR="00C005A3">
        <w:rPr>
          <w:rFonts w:ascii="Times New Roman" w:hAnsi="Times New Roman"/>
          <w:sz w:val="20"/>
          <w:szCs w:val="20"/>
          <w:lang w:val="en-US"/>
        </w:rPr>
        <w:t>Red Herring Prospectus</w:t>
      </w:r>
      <w:r w:rsidRPr="00B600EB">
        <w:rPr>
          <w:rFonts w:ascii="Times New Roman" w:hAnsi="Times New Roman"/>
          <w:sz w:val="20"/>
          <w:szCs w:val="20"/>
          <w:lang w:val="en-US"/>
        </w:rPr>
        <w:t xml:space="preserve"> and IPO AV is directed at, and is intended for distribution to, and use by, residents of India only. The information in this portion of our website, including the </w:t>
      </w:r>
      <w:r w:rsidR="00C005A3">
        <w:rPr>
          <w:rFonts w:ascii="Times New Roman" w:hAnsi="Times New Roman"/>
          <w:sz w:val="20"/>
          <w:szCs w:val="20"/>
          <w:lang w:val="en-US"/>
        </w:rPr>
        <w:t>Red Herring Prospectus</w:t>
      </w:r>
      <w:r w:rsidRPr="00B600EB">
        <w:rPr>
          <w:rFonts w:ascii="Times New Roman" w:hAnsi="Times New Roman"/>
          <w:sz w:val="20"/>
          <w:szCs w:val="20"/>
          <w:lang w:val="en-US"/>
        </w:rPr>
        <w:t xml:space="preserve"> and the IPO AV, is not intended for, and may not be accessed in or by, or distributed or transmitted in, into or to, directly or indirectly, the United States of America (including its territories and possessions), any state of the United States and the District of Columbia (the “</w:t>
      </w:r>
      <w:r w:rsidRPr="00B600EB">
        <w:rPr>
          <w:rFonts w:ascii="Times New Roman" w:hAnsi="Times New Roman"/>
          <w:b/>
          <w:bCs/>
          <w:sz w:val="20"/>
          <w:szCs w:val="20"/>
          <w:lang w:val="en-US"/>
        </w:rPr>
        <w:t>United States</w:t>
      </w:r>
      <w:r w:rsidRPr="00B600EB">
        <w:rPr>
          <w:rFonts w:ascii="Times New Roman" w:hAnsi="Times New Roman"/>
          <w:sz w:val="20"/>
          <w:szCs w:val="20"/>
          <w:lang w:val="en-US"/>
        </w:rPr>
        <w:t xml:space="preserve">”) or any other jurisdiction where it is unlawful to do so. All persons residing outside of the United States who wish to access the </w:t>
      </w:r>
      <w:r w:rsidR="00C005A3">
        <w:rPr>
          <w:rFonts w:ascii="Times New Roman" w:hAnsi="Times New Roman"/>
          <w:sz w:val="20"/>
          <w:szCs w:val="20"/>
          <w:lang w:val="en-US"/>
        </w:rPr>
        <w:t>Red Herring Prospectus</w:t>
      </w:r>
      <w:r w:rsidRPr="00B600EB">
        <w:rPr>
          <w:rFonts w:ascii="Times New Roman" w:hAnsi="Times New Roman"/>
          <w:sz w:val="20"/>
          <w:szCs w:val="20"/>
          <w:lang w:val="en-US"/>
        </w:rPr>
        <w:t xml:space="preserve"> and the IPO AV contained on the following page of this website should first ensure that they are not subject to local laws or regulations that prohibit or restrict their right to access this website or require registration or approval for any acquisition of securities by them. No part of the contents of the </w:t>
      </w:r>
      <w:r w:rsidR="00C005A3">
        <w:rPr>
          <w:rFonts w:ascii="Times New Roman" w:hAnsi="Times New Roman"/>
          <w:sz w:val="20"/>
          <w:szCs w:val="20"/>
          <w:lang w:val="en-US"/>
        </w:rPr>
        <w:t>Red Herring Prospectus</w:t>
      </w:r>
      <w:r w:rsidRPr="00B600EB">
        <w:rPr>
          <w:rFonts w:ascii="Times New Roman" w:hAnsi="Times New Roman"/>
          <w:sz w:val="20"/>
          <w:szCs w:val="20"/>
          <w:lang w:val="en-US"/>
        </w:rPr>
        <w:t xml:space="preserve"> and the IPO AV shall be copied or duplicated in any form by any means or redistributed.</w:t>
      </w:r>
    </w:p>
    <w:p w14:paraId="3959863D" w14:textId="77777777" w:rsidR="00E56208" w:rsidRPr="00B600EB" w:rsidRDefault="00E56208" w:rsidP="00DC152F">
      <w:pPr>
        <w:pStyle w:val="Body1"/>
        <w:spacing w:after="0" w:line="240" w:lineRule="auto"/>
        <w:rPr>
          <w:rFonts w:ascii="Times New Roman" w:hAnsi="Times New Roman"/>
          <w:sz w:val="20"/>
          <w:szCs w:val="20"/>
          <w:lang w:val="en-US"/>
        </w:rPr>
      </w:pPr>
    </w:p>
    <w:p w14:paraId="3959863E" w14:textId="4C200BA3" w:rsidR="00E56208" w:rsidRPr="00B600EB"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t xml:space="preserve">The </w:t>
      </w:r>
      <w:r w:rsidR="00C005A3">
        <w:rPr>
          <w:rFonts w:ascii="Times New Roman" w:hAnsi="Times New Roman"/>
          <w:sz w:val="20"/>
          <w:szCs w:val="20"/>
          <w:lang w:val="en-US"/>
        </w:rPr>
        <w:t>Red Herring Prospectus</w:t>
      </w:r>
      <w:r w:rsidRPr="00B600EB">
        <w:rPr>
          <w:rFonts w:ascii="Times New Roman" w:hAnsi="Times New Roman"/>
          <w:sz w:val="20"/>
          <w:szCs w:val="20"/>
          <w:lang w:val="en-US"/>
        </w:rPr>
        <w:t xml:space="preserve"> is directed at, and is intended for distribution to, and use by, residents of India only. The information in this portion of our website, including the </w:t>
      </w:r>
      <w:r w:rsidR="00C005A3">
        <w:rPr>
          <w:rFonts w:ascii="Times New Roman" w:hAnsi="Times New Roman"/>
          <w:sz w:val="20"/>
          <w:szCs w:val="20"/>
          <w:lang w:val="en-US"/>
        </w:rPr>
        <w:t>Red Herring Prospectus</w:t>
      </w:r>
      <w:r w:rsidRPr="00B600EB">
        <w:rPr>
          <w:rFonts w:ascii="Times New Roman" w:hAnsi="Times New Roman"/>
          <w:sz w:val="20"/>
          <w:szCs w:val="20"/>
          <w:lang w:val="en-US"/>
        </w:rPr>
        <w:t>, is not intended for, and may not be accessed in or by, or distributed or transmitted in, into or to, directly or indirectly, the United States of America (including its territories and possessions), any state of the United States and the District of Columbia (the “</w:t>
      </w:r>
      <w:r w:rsidRPr="00DC152F">
        <w:rPr>
          <w:rFonts w:ascii="Times New Roman" w:hAnsi="Times New Roman"/>
          <w:b/>
          <w:bCs/>
          <w:sz w:val="20"/>
          <w:szCs w:val="20"/>
          <w:lang w:val="en-US"/>
        </w:rPr>
        <w:t>United States</w:t>
      </w:r>
      <w:r w:rsidRPr="00B600EB">
        <w:rPr>
          <w:rFonts w:ascii="Times New Roman" w:hAnsi="Times New Roman"/>
          <w:sz w:val="20"/>
          <w:szCs w:val="20"/>
          <w:lang w:val="en-US"/>
        </w:rPr>
        <w:t xml:space="preserve">”) or any other jurisdiction where it is unlawful to do so. All persons residing outside of the United States who wish to access the </w:t>
      </w:r>
      <w:r w:rsidR="00C005A3">
        <w:rPr>
          <w:rFonts w:ascii="Times New Roman" w:hAnsi="Times New Roman"/>
          <w:sz w:val="20"/>
          <w:szCs w:val="20"/>
          <w:lang w:val="en-US"/>
        </w:rPr>
        <w:t>Red Herring Prospectus</w:t>
      </w:r>
      <w:r w:rsidRPr="00B600EB">
        <w:rPr>
          <w:rFonts w:ascii="Times New Roman" w:hAnsi="Times New Roman"/>
          <w:sz w:val="20"/>
          <w:szCs w:val="20"/>
          <w:lang w:val="en-US"/>
        </w:rPr>
        <w:t xml:space="preserve"> contained on the following page of this website should first ensure that they are not subject to local laws or regulations that prohibit or restrict their right to access this website or require registration or approval for any acquisition of securities by them. No part of the contents of the </w:t>
      </w:r>
      <w:r w:rsidR="00C005A3">
        <w:rPr>
          <w:rFonts w:ascii="Times New Roman" w:hAnsi="Times New Roman"/>
          <w:sz w:val="20"/>
          <w:szCs w:val="20"/>
          <w:lang w:val="en-US"/>
        </w:rPr>
        <w:t>Red Herring Prospectus</w:t>
      </w:r>
      <w:r w:rsidRPr="00B600EB">
        <w:rPr>
          <w:rFonts w:ascii="Times New Roman" w:hAnsi="Times New Roman"/>
          <w:sz w:val="20"/>
          <w:szCs w:val="20"/>
          <w:lang w:val="en-US"/>
        </w:rPr>
        <w:t xml:space="preserve"> shall be copied or duplicated in any form by any means or redistributed.</w:t>
      </w:r>
    </w:p>
    <w:p w14:paraId="3959863F" w14:textId="77777777" w:rsidR="00E56208" w:rsidRPr="00B600EB" w:rsidRDefault="00E56208" w:rsidP="00DC152F">
      <w:pPr>
        <w:pStyle w:val="Body1"/>
        <w:spacing w:after="0" w:line="240" w:lineRule="auto"/>
        <w:rPr>
          <w:rFonts w:ascii="Times New Roman" w:hAnsi="Times New Roman"/>
          <w:sz w:val="20"/>
          <w:szCs w:val="20"/>
          <w:lang w:val="en-US"/>
        </w:rPr>
      </w:pPr>
    </w:p>
    <w:p w14:paraId="39598640" w14:textId="21E43ED7" w:rsidR="00E56208"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t xml:space="preserve">The </w:t>
      </w:r>
      <w:r w:rsidR="00C005A3">
        <w:rPr>
          <w:rFonts w:ascii="Times New Roman" w:hAnsi="Times New Roman"/>
          <w:sz w:val="20"/>
          <w:szCs w:val="20"/>
          <w:lang w:val="en-US"/>
        </w:rPr>
        <w:t>Red Herring Prospectus</w:t>
      </w:r>
      <w:r w:rsidRPr="00B600EB">
        <w:rPr>
          <w:rFonts w:ascii="Times New Roman" w:hAnsi="Times New Roman"/>
          <w:sz w:val="20"/>
          <w:szCs w:val="20"/>
          <w:lang w:val="en-US"/>
        </w:rPr>
        <w:t xml:space="preserve"> and the IPO AV do not constitute an offer to sell, or the solicitation of an offer to purchase or acquire, any securities of the Company in the United States or in any other jurisdiction in which such offer or solicitation would be unlawful prior to registration or qualification under the securities laws of such jurisdiction.</w:t>
      </w:r>
    </w:p>
    <w:p w14:paraId="39598641" w14:textId="77777777" w:rsidR="00A3791B" w:rsidRPr="00B600EB" w:rsidRDefault="00A3791B" w:rsidP="00DC152F">
      <w:pPr>
        <w:pStyle w:val="Body1"/>
        <w:spacing w:after="0" w:line="240" w:lineRule="auto"/>
        <w:rPr>
          <w:rFonts w:ascii="Times New Roman" w:hAnsi="Times New Roman"/>
          <w:sz w:val="20"/>
          <w:szCs w:val="20"/>
          <w:lang w:val="en-US"/>
        </w:rPr>
      </w:pPr>
    </w:p>
    <w:p w14:paraId="39598642" w14:textId="4C4B7301" w:rsidR="00E56208" w:rsidRPr="00B600EB"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t xml:space="preserve">The Equity Shares </w:t>
      </w:r>
      <w:r w:rsidR="009C7A31" w:rsidRPr="00DC152F">
        <w:rPr>
          <w:rFonts w:ascii="Times New Roman" w:eastAsia="Times New Roman" w:hAnsi="Times New Roman"/>
          <w:color w:val="000000"/>
          <w:sz w:val="20"/>
          <w:szCs w:val="20"/>
          <w:lang w:eastAsia="zh-CN"/>
        </w:rPr>
        <w:t>have not been, and will not be, registered under the U.S. Securities Act of 1933, as amended (the “</w:t>
      </w:r>
      <w:r w:rsidR="009C7A31" w:rsidRPr="00DC152F">
        <w:rPr>
          <w:rFonts w:ascii="Times New Roman" w:eastAsia="Times New Roman" w:hAnsi="Times New Roman"/>
          <w:b/>
          <w:bCs/>
          <w:color w:val="000000"/>
          <w:sz w:val="20"/>
          <w:szCs w:val="20"/>
          <w:lang w:eastAsia="zh-CN"/>
        </w:rPr>
        <w:t>U.S. Securities Act</w:t>
      </w:r>
      <w:r w:rsidR="009C7A31" w:rsidRPr="00DC152F">
        <w:rPr>
          <w:rFonts w:ascii="Times New Roman" w:eastAsia="Times New Roman" w:hAnsi="Times New Roman"/>
          <w:color w:val="000000"/>
          <w:sz w:val="20"/>
          <w:szCs w:val="20"/>
          <w:lang w:eastAsia="zh-CN"/>
        </w:rPr>
        <w:t xml:space="preserve">”), or any state law of the United States and, unless so registered, may not be offered or sold within the United States, except pursuant to an exemption from, or in a transaction not subject to, the registration requirements of the U.S. Securities Act and applicable state securities laws. Accordingly, the securities described in the </w:t>
      </w:r>
      <w:r w:rsidR="00C005A3">
        <w:rPr>
          <w:rFonts w:ascii="Times New Roman" w:eastAsia="Times New Roman" w:hAnsi="Times New Roman"/>
          <w:color w:val="000000"/>
          <w:sz w:val="20"/>
          <w:szCs w:val="20"/>
          <w:lang w:eastAsia="zh-CN"/>
        </w:rPr>
        <w:t>Red Herring Prospectus</w:t>
      </w:r>
      <w:r w:rsidR="009C7A31" w:rsidRPr="00DC152F">
        <w:rPr>
          <w:rFonts w:ascii="Times New Roman" w:eastAsia="Times New Roman" w:hAnsi="Times New Roman"/>
          <w:color w:val="000000"/>
          <w:sz w:val="20"/>
          <w:szCs w:val="20"/>
          <w:lang w:eastAsia="zh-CN"/>
        </w:rPr>
        <w:t xml:space="preserve"> are being offered and sold (i) within the United States only to persons reasonably believed to be “qualified institutional buyers” (as defined in Rule 144A under the U.S. Securities Act) </w:t>
      </w:r>
      <w:r w:rsidR="009C7A31" w:rsidRPr="00DC152F">
        <w:rPr>
          <w:rFonts w:ascii="Times New Roman" w:eastAsia="Times New Roman" w:hAnsi="Times New Roman"/>
          <w:color w:val="000000"/>
          <w:sz w:val="20"/>
          <w:szCs w:val="20"/>
          <w:lang w:eastAsia="zh-CN"/>
        </w:rPr>
        <w:lastRenderedPageBreak/>
        <w:t>pursuant to Section 4(a) of the U.S. Securities Act, and (ii) outside the United States in “offshore transactions” as defined in and in compliance with Regulation S under the U.S. Securities Act and the applicable laws of the jurisdictions where those offers and sales are made. There will be no public offering of such securities in the United States.</w:t>
      </w:r>
    </w:p>
    <w:p w14:paraId="39598643" w14:textId="77777777" w:rsidR="00E56208" w:rsidRPr="00B600EB" w:rsidRDefault="00E56208" w:rsidP="00DC152F">
      <w:pPr>
        <w:pStyle w:val="Body1"/>
        <w:spacing w:after="0" w:line="240" w:lineRule="auto"/>
        <w:rPr>
          <w:rFonts w:ascii="Times New Roman" w:hAnsi="Times New Roman"/>
          <w:sz w:val="20"/>
          <w:szCs w:val="20"/>
          <w:lang w:val="en-US"/>
        </w:rPr>
      </w:pPr>
    </w:p>
    <w:p w14:paraId="39598644" w14:textId="37AEF85B" w:rsidR="00E56208" w:rsidRPr="00B600EB"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t xml:space="preserve">The </w:t>
      </w:r>
      <w:r w:rsidR="00C005A3">
        <w:rPr>
          <w:rFonts w:ascii="Times New Roman" w:hAnsi="Times New Roman"/>
          <w:sz w:val="20"/>
          <w:szCs w:val="20"/>
          <w:lang w:val="en-US"/>
        </w:rPr>
        <w:t>Red Herring Prospectus</w:t>
      </w:r>
      <w:r w:rsidRPr="00B600EB">
        <w:rPr>
          <w:rFonts w:ascii="Times New Roman" w:hAnsi="Times New Roman"/>
          <w:sz w:val="20"/>
          <w:szCs w:val="20"/>
          <w:lang w:val="en-US"/>
        </w:rPr>
        <w:t xml:space="preserve"> and the IPO AV or any information contained on our website or in the </w:t>
      </w:r>
      <w:r w:rsidR="00C005A3">
        <w:rPr>
          <w:rFonts w:ascii="Times New Roman" w:hAnsi="Times New Roman"/>
          <w:sz w:val="20"/>
          <w:szCs w:val="20"/>
          <w:lang w:val="en-US"/>
        </w:rPr>
        <w:t>Red Herring Prospectus</w:t>
      </w:r>
      <w:r w:rsidRPr="00B600EB">
        <w:rPr>
          <w:rFonts w:ascii="Times New Roman" w:hAnsi="Times New Roman"/>
          <w:sz w:val="20"/>
          <w:szCs w:val="20"/>
          <w:lang w:val="en-US"/>
        </w:rPr>
        <w:t xml:space="preserve"> and the IPO AV does not constitute, and should not be construed as, “general solicitation” or “general advertising” as defined under Regulation D of the U.S. Securities Act, or “directed selling efforts” under Regulation S.</w:t>
      </w:r>
    </w:p>
    <w:p w14:paraId="39598645" w14:textId="77777777" w:rsidR="00E56208" w:rsidRPr="00B600EB" w:rsidRDefault="00E56208" w:rsidP="00DC152F">
      <w:pPr>
        <w:pStyle w:val="Body1"/>
        <w:spacing w:after="0" w:line="240" w:lineRule="auto"/>
        <w:rPr>
          <w:rFonts w:ascii="Times New Roman" w:hAnsi="Times New Roman"/>
          <w:sz w:val="20"/>
          <w:szCs w:val="20"/>
          <w:lang w:val="en-US"/>
        </w:rPr>
      </w:pPr>
    </w:p>
    <w:p w14:paraId="39598646" w14:textId="20ACEB12" w:rsidR="00E56208" w:rsidRPr="00B600EB"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t xml:space="preserve">The Company, and </w:t>
      </w:r>
      <w:r w:rsidR="00B600EB" w:rsidRPr="00DC152F">
        <w:rPr>
          <w:rFonts w:ascii="Times New Roman" w:eastAsia="MS Mincho" w:hAnsi="Times New Roman"/>
          <w:sz w:val="20"/>
          <w:szCs w:val="20"/>
        </w:rPr>
        <w:t>ICICI Securities Limited, BNP Paribas, IIFL Capital Services Limited (formerly known as IIFL Securities Limited), Jefferies India Private Limited and HDFC Bank Limited</w:t>
      </w:r>
      <w:r w:rsidR="007043FC" w:rsidRPr="00B600EB">
        <w:rPr>
          <w:rFonts w:ascii="Times New Roman" w:hAnsi="Times New Roman"/>
          <w:sz w:val="20"/>
          <w:szCs w:val="20"/>
        </w:rPr>
        <w:t xml:space="preserve"> </w:t>
      </w:r>
      <w:r w:rsidRPr="00B600EB">
        <w:rPr>
          <w:rFonts w:ascii="Times New Roman" w:hAnsi="Times New Roman"/>
          <w:sz w:val="20"/>
          <w:szCs w:val="20"/>
          <w:lang w:val="en-US"/>
        </w:rPr>
        <w:t>(collectively, the “</w:t>
      </w:r>
      <w:r w:rsidRPr="00B600EB">
        <w:rPr>
          <w:rFonts w:ascii="Times New Roman" w:hAnsi="Times New Roman"/>
          <w:b/>
          <w:bCs/>
          <w:sz w:val="20"/>
          <w:szCs w:val="20"/>
          <w:lang w:val="en-US"/>
        </w:rPr>
        <w:t>Book Running Lead Managers</w:t>
      </w:r>
      <w:r w:rsidRPr="00B600EB">
        <w:rPr>
          <w:rFonts w:ascii="Times New Roman" w:hAnsi="Times New Roman"/>
          <w:sz w:val="20"/>
          <w:szCs w:val="20"/>
          <w:lang w:val="en-US"/>
        </w:rPr>
        <w:t xml:space="preserve">”) and their respective affiliates, directors, officers, agents, representatives, advisers and employees do not accept any liability whatsoever, direct or indirect, that may arise from the use of the information contained on this website. The information in the </w:t>
      </w:r>
      <w:r w:rsidR="00C005A3">
        <w:rPr>
          <w:rFonts w:ascii="Times New Roman" w:hAnsi="Times New Roman"/>
          <w:sz w:val="20"/>
          <w:szCs w:val="20"/>
          <w:lang w:val="en-US"/>
        </w:rPr>
        <w:t>Red Herring Prospectus</w:t>
      </w:r>
      <w:r w:rsidRPr="00B600EB">
        <w:rPr>
          <w:rFonts w:ascii="Times New Roman" w:hAnsi="Times New Roman"/>
          <w:sz w:val="20"/>
          <w:szCs w:val="20"/>
          <w:lang w:val="en-US"/>
        </w:rPr>
        <w:t xml:space="preserve"> and the IPO AV is as of the date thereof and neither the Company,</w:t>
      </w:r>
      <w:r w:rsidR="003443D5" w:rsidRPr="00B600EB">
        <w:rPr>
          <w:rFonts w:ascii="Times New Roman" w:hAnsi="Times New Roman"/>
          <w:sz w:val="20"/>
          <w:szCs w:val="20"/>
          <w:lang w:val="en-US"/>
        </w:rPr>
        <w:t xml:space="preserve"> Promoters, </w:t>
      </w:r>
      <w:r w:rsidRPr="00B600EB">
        <w:rPr>
          <w:rFonts w:ascii="Times New Roman" w:hAnsi="Times New Roman"/>
          <w:sz w:val="20"/>
          <w:szCs w:val="20"/>
          <w:lang w:val="en-US"/>
        </w:rPr>
        <w:t xml:space="preserve">the Book Running Lead Managers nor their respective affiliates, directors, officers, agents, representatives, advisers or employees are under any obligation to update or revise the </w:t>
      </w:r>
      <w:r w:rsidR="00C005A3">
        <w:rPr>
          <w:rFonts w:ascii="Times New Roman" w:hAnsi="Times New Roman"/>
          <w:sz w:val="20"/>
          <w:szCs w:val="20"/>
          <w:lang w:val="en-US"/>
        </w:rPr>
        <w:t>Red Herring Prospectus</w:t>
      </w:r>
      <w:r w:rsidRPr="00B600EB">
        <w:rPr>
          <w:rFonts w:ascii="Times New Roman" w:hAnsi="Times New Roman"/>
          <w:sz w:val="20"/>
          <w:szCs w:val="20"/>
          <w:lang w:val="en-US"/>
        </w:rPr>
        <w:t xml:space="preserve"> and the IPO AV to reflect circumstances arising after the date thereof. You are reminded that documents transmitted in electronic form may be altered or changed during the process of transmission and consequently, neither the Company, the Book Running Lead Managers nor any of their respective affiliates, directors, officers, agents, representatives, advisers or employees accepts any liability or responsibility whatsoever in respect of alterations or changes which have taken place during the course of transmission of the </w:t>
      </w:r>
      <w:r w:rsidR="00C005A3">
        <w:rPr>
          <w:rFonts w:ascii="Times New Roman" w:hAnsi="Times New Roman"/>
          <w:sz w:val="20"/>
          <w:szCs w:val="20"/>
          <w:lang w:val="en-US"/>
        </w:rPr>
        <w:t>Red Herring Prospectus</w:t>
      </w:r>
      <w:r w:rsidRPr="00B600EB">
        <w:rPr>
          <w:rFonts w:ascii="Times New Roman" w:hAnsi="Times New Roman"/>
          <w:sz w:val="20"/>
          <w:szCs w:val="20"/>
          <w:lang w:val="en-US"/>
        </w:rPr>
        <w:t xml:space="preserve"> and the IPO AV in electronic format.</w:t>
      </w:r>
    </w:p>
    <w:p w14:paraId="39598647" w14:textId="77777777" w:rsidR="00E56208" w:rsidRPr="00B600EB" w:rsidRDefault="00E56208" w:rsidP="00DC152F">
      <w:pPr>
        <w:pStyle w:val="Body1"/>
        <w:spacing w:after="0" w:line="240" w:lineRule="auto"/>
        <w:rPr>
          <w:rFonts w:ascii="Times New Roman" w:hAnsi="Times New Roman"/>
          <w:sz w:val="20"/>
          <w:szCs w:val="20"/>
          <w:lang w:val="en-US"/>
        </w:rPr>
      </w:pPr>
    </w:p>
    <w:p w14:paraId="39598648" w14:textId="3B7E27B4" w:rsidR="00E56208" w:rsidRPr="00B600EB"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t>Any potential investor should note that investment in equity shares involves a high degree of risk and for details relating to such risks, see the section titled “Risk Factors” of the Red Herring Prospectus. Potential investors should also refer to</w:t>
      </w:r>
      <w:r w:rsidRPr="00DC152F">
        <w:rPr>
          <w:rFonts w:ascii="Times New Roman" w:eastAsia="MS Mincho" w:hAnsi="Times New Roman"/>
          <w:sz w:val="20"/>
          <w:szCs w:val="20"/>
          <w:lang w:eastAsia="en-US"/>
        </w:rPr>
        <w:t xml:space="preserve"> the Prospectus which will be filed with the</w:t>
      </w:r>
      <w:r w:rsidR="00112B29" w:rsidRPr="00DC152F">
        <w:rPr>
          <w:rFonts w:ascii="Times New Roman" w:eastAsia="MS Mincho" w:hAnsi="Times New Roman"/>
          <w:sz w:val="20"/>
          <w:szCs w:val="20"/>
          <w:lang w:eastAsia="en-US"/>
        </w:rPr>
        <w:t xml:space="preserve"> Registrar of Companies, </w:t>
      </w:r>
      <w:r w:rsidR="00B600EB" w:rsidRPr="00DC152F">
        <w:rPr>
          <w:rFonts w:ascii="Times New Roman" w:eastAsia="MS Mincho" w:hAnsi="Times New Roman"/>
          <w:sz w:val="20"/>
          <w:szCs w:val="20"/>
          <w:lang w:eastAsia="en-US"/>
        </w:rPr>
        <w:t>Gujarat at Ahmedabad</w:t>
      </w:r>
      <w:r w:rsidR="00B600EB" w:rsidRPr="00B600EB">
        <w:rPr>
          <w:rFonts w:ascii="Times New Roman" w:hAnsi="Times New Roman"/>
          <w:sz w:val="20"/>
          <w:szCs w:val="20"/>
          <w:lang w:val="en-US"/>
        </w:rPr>
        <w:t xml:space="preserve"> </w:t>
      </w:r>
      <w:r w:rsidRPr="00B600EB">
        <w:rPr>
          <w:rFonts w:ascii="Times New Roman" w:hAnsi="Times New Roman"/>
          <w:sz w:val="20"/>
          <w:szCs w:val="20"/>
          <w:lang w:val="en-US"/>
        </w:rPr>
        <w:t xml:space="preserve">and SEBI in the future, including the section titled “Risk Factors”. As there may be material changes in the </w:t>
      </w:r>
      <w:r w:rsidR="00C005A3">
        <w:rPr>
          <w:rFonts w:ascii="Times New Roman" w:hAnsi="Times New Roman"/>
          <w:sz w:val="20"/>
          <w:szCs w:val="20"/>
          <w:lang w:val="en-US"/>
        </w:rPr>
        <w:t>Draft Red Herring Prospectus</w:t>
      </w:r>
      <w:r w:rsidRPr="00B600EB">
        <w:rPr>
          <w:rFonts w:ascii="Times New Roman" w:hAnsi="Times New Roman"/>
          <w:sz w:val="20"/>
          <w:szCs w:val="20"/>
          <w:lang w:val="en-US"/>
        </w:rPr>
        <w:t xml:space="preserve"> versus the Red Herring Prospectus, potential investors should not rely on the </w:t>
      </w:r>
      <w:r w:rsidR="00C005A3">
        <w:rPr>
          <w:rFonts w:ascii="Times New Roman" w:hAnsi="Times New Roman"/>
          <w:sz w:val="20"/>
          <w:szCs w:val="20"/>
          <w:lang w:val="en-US"/>
        </w:rPr>
        <w:t>Draft Red Herring Prospectus</w:t>
      </w:r>
      <w:r w:rsidR="00DC2284" w:rsidRPr="00B600EB">
        <w:rPr>
          <w:rFonts w:ascii="Times New Roman" w:hAnsi="Times New Roman"/>
          <w:sz w:val="20"/>
          <w:szCs w:val="20"/>
          <w:lang w:val="en-US"/>
        </w:rPr>
        <w:t>.</w:t>
      </w:r>
      <w:r w:rsidRPr="00B600EB">
        <w:rPr>
          <w:rFonts w:ascii="Times New Roman" w:hAnsi="Times New Roman"/>
          <w:sz w:val="20"/>
          <w:szCs w:val="20"/>
          <w:lang w:val="en-US"/>
        </w:rPr>
        <w:t xml:space="preserve"> Similarly, IPO AV provides only the salient features of the </w:t>
      </w:r>
      <w:r w:rsidR="001B164C">
        <w:rPr>
          <w:rFonts w:ascii="Times New Roman" w:hAnsi="Times New Roman"/>
          <w:sz w:val="20"/>
          <w:szCs w:val="20"/>
          <w:lang w:val="en-US"/>
        </w:rPr>
        <w:t>Issue</w:t>
      </w:r>
      <w:r w:rsidR="001B164C" w:rsidRPr="00B600EB">
        <w:rPr>
          <w:rFonts w:ascii="Times New Roman" w:hAnsi="Times New Roman"/>
          <w:sz w:val="20"/>
          <w:szCs w:val="20"/>
          <w:lang w:val="en-US"/>
        </w:rPr>
        <w:t xml:space="preserve"> </w:t>
      </w:r>
      <w:r w:rsidRPr="00B600EB">
        <w:rPr>
          <w:rFonts w:ascii="Times New Roman" w:hAnsi="Times New Roman"/>
          <w:sz w:val="20"/>
          <w:szCs w:val="20"/>
          <w:lang w:val="en-US"/>
        </w:rPr>
        <w:t>and accordingly, potential investors should not rely on the IPO AV. Any decision on whether to invest in the equity shares must be made solely on the basis of the Red Herring Prospectus.</w:t>
      </w:r>
    </w:p>
    <w:p w14:paraId="39598649" w14:textId="77777777" w:rsidR="00E56208" w:rsidRPr="00B600EB" w:rsidRDefault="00E56208" w:rsidP="00DC152F">
      <w:pPr>
        <w:pStyle w:val="Body1"/>
        <w:spacing w:after="0" w:line="240" w:lineRule="auto"/>
        <w:rPr>
          <w:rFonts w:ascii="Times New Roman" w:hAnsi="Times New Roman"/>
          <w:sz w:val="20"/>
          <w:szCs w:val="20"/>
          <w:lang w:val="en-US"/>
        </w:rPr>
      </w:pPr>
    </w:p>
    <w:p w14:paraId="3959864A" w14:textId="46B75475" w:rsidR="00E56208" w:rsidRPr="00B600EB"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t xml:space="preserve">Investors are advised not to rely on any other document, content or information provided on the </w:t>
      </w:r>
      <w:r w:rsidR="001B164C">
        <w:rPr>
          <w:rFonts w:ascii="Times New Roman" w:hAnsi="Times New Roman"/>
          <w:sz w:val="20"/>
          <w:szCs w:val="20"/>
          <w:lang w:val="en-US"/>
        </w:rPr>
        <w:t>Issue</w:t>
      </w:r>
      <w:r w:rsidR="001B164C" w:rsidRPr="00B600EB">
        <w:rPr>
          <w:rFonts w:ascii="Times New Roman" w:hAnsi="Times New Roman"/>
          <w:sz w:val="20"/>
          <w:szCs w:val="20"/>
          <w:lang w:val="en-US"/>
        </w:rPr>
        <w:t xml:space="preserve"> </w:t>
      </w:r>
      <w:r w:rsidRPr="00B600EB">
        <w:rPr>
          <w:rFonts w:ascii="Times New Roman" w:hAnsi="Times New Roman"/>
          <w:sz w:val="20"/>
          <w:szCs w:val="20"/>
          <w:lang w:val="en-US"/>
        </w:rPr>
        <w:t>on the internet / online websites / social media platforms / micro-blogging platforms and by the influencers since the same is not approved / commissioned / paid by the Company or its promoter(s) / directors / KMPs in any manner. Investors are advised to rely only on the information contained in the Red Herring Prospectus and the price band advertisement for making investment decision.</w:t>
      </w:r>
    </w:p>
    <w:p w14:paraId="3959864B" w14:textId="77777777" w:rsidR="00E56208" w:rsidRPr="00B600EB" w:rsidRDefault="00E56208" w:rsidP="00DC152F">
      <w:pPr>
        <w:pStyle w:val="Body1"/>
        <w:spacing w:after="0" w:line="240" w:lineRule="auto"/>
        <w:rPr>
          <w:rFonts w:ascii="Times New Roman" w:hAnsi="Times New Roman"/>
          <w:sz w:val="20"/>
          <w:szCs w:val="20"/>
          <w:lang w:val="en-US"/>
        </w:rPr>
      </w:pPr>
    </w:p>
    <w:p w14:paraId="3959864C" w14:textId="03064B3F" w:rsidR="00E56208" w:rsidRPr="00B600EB"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t xml:space="preserve">You are accessing this website at your own risk and it is your responsibility to take precautions to ensure that it is free from viruses. Neither the Company, </w:t>
      </w:r>
      <w:r w:rsidR="00DC2284" w:rsidRPr="00B600EB">
        <w:rPr>
          <w:rFonts w:ascii="Times New Roman" w:hAnsi="Times New Roman"/>
          <w:sz w:val="20"/>
          <w:szCs w:val="20"/>
          <w:lang w:val="en-US"/>
        </w:rPr>
        <w:t xml:space="preserve">Promoters, </w:t>
      </w:r>
      <w:r w:rsidRPr="00B600EB">
        <w:rPr>
          <w:rFonts w:ascii="Times New Roman" w:hAnsi="Times New Roman"/>
          <w:sz w:val="20"/>
          <w:szCs w:val="20"/>
          <w:lang w:val="en-US"/>
        </w:rPr>
        <w:t xml:space="preserve">the Book Running Lead Managers nor their respective affiliates, directors, officers, agents, representatives, advisers or employees will be liable or have any responsibility of any kind for any loss or damage that you incur in the event of any failure or disruption of this website, or resulting from the act or omission of any other party involved in making this website or the data contained therein available to you, or from any other cause relating to your access to, inability to access, or use of this website or the </w:t>
      </w:r>
      <w:r w:rsidR="00C005A3">
        <w:rPr>
          <w:rFonts w:ascii="Times New Roman" w:hAnsi="Times New Roman"/>
          <w:sz w:val="20"/>
          <w:szCs w:val="20"/>
          <w:lang w:val="en-US"/>
        </w:rPr>
        <w:t>Red Herring Prospectus</w:t>
      </w:r>
      <w:r w:rsidRPr="00B600EB">
        <w:rPr>
          <w:rFonts w:ascii="Times New Roman" w:hAnsi="Times New Roman"/>
          <w:sz w:val="20"/>
          <w:szCs w:val="20"/>
          <w:lang w:val="en-US"/>
        </w:rPr>
        <w:t xml:space="preserve"> or the IPO AV.</w:t>
      </w:r>
    </w:p>
    <w:p w14:paraId="3959864D" w14:textId="77777777" w:rsidR="00E56208" w:rsidRPr="00B600EB" w:rsidRDefault="00E56208" w:rsidP="00DC152F">
      <w:pPr>
        <w:pStyle w:val="Body1"/>
        <w:spacing w:after="0" w:line="240" w:lineRule="auto"/>
        <w:rPr>
          <w:rFonts w:ascii="Times New Roman" w:hAnsi="Times New Roman"/>
          <w:sz w:val="20"/>
          <w:szCs w:val="20"/>
          <w:lang w:val="en-US"/>
        </w:rPr>
      </w:pPr>
    </w:p>
    <w:p w14:paraId="3959864E" w14:textId="37BC3936" w:rsidR="00E56208" w:rsidRPr="00B600EB"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t xml:space="preserve">Failure to comply with this disclaimer may result in a violation of the applicable laws of India and other jurisdictions. Any other information contained in, or that can be accessed via our website does not constitute a part of the </w:t>
      </w:r>
      <w:r w:rsidR="00C005A3">
        <w:rPr>
          <w:rFonts w:ascii="Times New Roman" w:hAnsi="Times New Roman"/>
          <w:sz w:val="20"/>
          <w:szCs w:val="20"/>
          <w:lang w:val="en-US"/>
        </w:rPr>
        <w:t>Red Herring Prospectus</w:t>
      </w:r>
      <w:r w:rsidRPr="00B600EB">
        <w:rPr>
          <w:rFonts w:ascii="Times New Roman" w:hAnsi="Times New Roman"/>
          <w:sz w:val="20"/>
          <w:szCs w:val="20"/>
          <w:lang w:val="en-US"/>
        </w:rPr>
        <w:t xml:space="preserve"> and the IPO AV.</w:t>
      </w:r>
    </w:p>
    <w:p w14:paraId="3959864F" w14:textId="77777777" w:rsidR="00E56208" w:rsidRPr="00B600EB" w:rsidRDefault="00E56208" w:rsidP="00DC152F">
      <w:pPr>
        <w:pStyle w:val="Body1"/>
        <w:spacing w:after="0" w:line="240" w:lineRule="auto"/>
        <w:rPr>
          <w:rFonts w:ascii="Times New Roman" w:hAnsi="Times New Roman"/>
          <w:sz w:val="20"/>
          <w:szCs w:val="20"/>
          <w:lang w:val="en-US"/>
        </w:rPr>
      </w:pPr>
    </w:p>
    <w:p w14:paraId="39598650" w14:textId="77777777" w:rsidR="00E56208" w:rsidRPr="00B600EB"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t>IF YOU ARE NOT PERMITTED TO VIEW THE MATERIALS ON THIS WEBSITE OR ARE IN ANY DOUBT AS TO WHETHER YOU ARE PERMITTED TO VIEW THESE MATERIALS, PLEASE EXIT THIS WEBPAGE.</w:t>
      </w:r>
    </w:p>
    <w:p w14:paraId="39598651" w14:textId="77777777" w:rsidR="00E56208" w:rsidRPr="00B600EB" w:rsidRDefault="00E56208" w:rsidP="00DC152F">
      <w:pPr>
        <w:pStyle w:val="Body1"/>
        <w:spacing w:after="0" w:line="240" w:lineRule="auto"/>
        <w:rPr>
          <w:rFonts w:ascii="Times New Roman" w:hAnsi="Times New Roman"/>
          <w:sz w:val="20"/>
          <w:szCs w:val="20"/>
          <w:lang w:val="en-US"/>
        </w:rPr>
      </w:pPr>
    </w:p>
    <w:p w14:paraId="39598652" w14:textId="77777777" w:rsidR="00E56208" w:rsidRPr="00B600EB"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t>To access this information, you must confirm, by pressing on the button marked “I Confirm”, that at the time of access, you are located in India. If you cannot make this confirmation, you must press the button marked “I Do Not Confirm”.</w:t>
      </w:r>
    </w:p>
    <w:p w14:paraId="39598653" w14:textId="77777777" w:rsidR="00E56208" w:rsidRPr="00B600EB" w:rsidRDefault="00E56208" w:rsidP="00DC152F">
      <w:pPr>
        <w:pStyle w:val="Body1"/>
        <w:spacing w:after="0" w:line="240" w:lineRule="auto"/>
        <w:rPr>
          <w:rFonts w:ascii="Times New Roman" w:hAnsi="Times New Roman"/>
          <w:sz w:val="20"/>
          <w:szCs w:val="20"/>
          <w:lang w:val="en-US"/>
        </w:rPr>
      </w:pPr>
    </w:p>
    <w:p w14:paraId="39598654" w14:textId="77777777" w:rsidR="00E56208" w:rsidRPr="00B600EB"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lastRenderedPageBreak/>
        <w:t>The documentation contained in these pages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w:t>
      </w:r>
    </w:p>
    <w:p w14:paraId="39598655" w14:textId="77777777" w:rsidR="00E56208" w:rsidRPr="00B600EB" w:rsidRDefault="00E56208" w:rsidP="00DC152F">
      <w:pPr>
        <w:pStyle w:val="Body1"/>
        <w:spacing w:after="0" w:line="240" w:lineRule="auto"/>
        <w:rPr>
          <w:rFonts w:ascii="Times New Roman" w:hAnsi="Times New Roman"/>
          <w:sz w:val="20"/>
          <w:szCs w:val="20"/>
          <w:lang w:val="en-US"/>
        </w:rPr>
      </w:pPr>
    </w:p>
    <w:p w14:paraId="39598656" w14:textId="77777777" w:rsidR="00E56208" w:rsidRPr="00B600EB" w:rsidRDefault="00E56208" w:rsidP="00DC152F">
      <w:pPr>
        <w:pStyle w:val="Body1"/>
        <w:spacing w:after="0" w:line="240" w:lineRule="auto"/>
        <w:rPr>
          <w:rFonts w:ascii="Times New Roman" w:hAnsi="Times New Roman"/>
          <w:sz w:val="20"/>
          <w:szCs w:val="20"/>
          <w:lang w:val="en-US"/>
        </w:rPr>
      </w:pPr>
    </w:p>
    <w:p w14:paraId="39598657" w14:textId="77777777" w:rsidR="00E56208" w:rsidRPr="00B600EB" w:rsidRDefault="00E56208" w:rsidP="00DC152F">
      <w:pPr>
        <w:pStyle w:val="Body1"/>
        <w:spacing w:after="0" w:line="240" w:lineRule="auto"/>
        <w:rPr>
          <w:rFonts w:ascii="Times New Roman" w:hAnsi="Times New Roman"/>
          <w:sz w:val="20"/>
          <w:szCs w:val="20"/>
          <w:lang w:val="en-US"/>
        </w:rPr>
      </w:pPr>
    </w:p>
    <w:p w14:paraId="39598658" w14:textId="77777777" w:rsidR="00E56208" w:rsidRPr="00B600EB" w:rsidRDefault="00E56208" w:rsidP="00DC152F">
      <w:pPr>
        <w:pStyle w:val="Body1"/>
        <w:spacing w:after="0" w:line="240" w:lineRule="auto"/>
        <w:rPr>
          <w:rFonts w:ascii="Times New Roman" w:hAnsi="Times New Roman"/>
          <w:sz w:val="20"/>
          <w:szCs w:val="20"/>
          <w:lang w:val="en-US"/>
        </w:rPr>
      </w:pPr>
    </w:p>
    <w:p w14:paraId="39598659" w14:textId="77777777" w:rsidR="00E56208" w:rsidRPr="00B600EB" w:rsidRDefault="00E56208" w:rsidP="00DC152F">
      <w:pPr>
        <w:pStyle w:val="Body1"/>
        <w:spacing w:after="0" w:line="240" w:lineRule="auto"/>
        <w:rPr>
          <w:rFonts w:ascii="Times New Roman" w:hAnsi="Times New Roman"/>
          <w:sz w:val="20"/>
          <w:szCs w:val="20"/>
          <w:lang w:val="en-US"/>
        </w:rPr>
      </w:pPr>
    </w:p>
    <w:sectPr w:rsidR="00E56208" w:rsidRPr="00B600EB" w:rsidSect="000E29E7">
      <w:headerReference w:type="default" r:id="rId8"/>
      <w:footerReference w:type="default" r:id="rId9"/>
      <w:footerReference w:type="first" r:id="rId10"/>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7F135" w14:textId="77777777" w:rsidR="00E01362" w:rsidRDefault="00E01362">
      <w:pPr>
        <w:spacing w:line="240" w:lineRule="auto"/>
      </w:pPr>
      <w:r>
        <w:separator/>
      </w:r>
    </w:p>
  </w:endnote>
  <w:endnote w:type="continuationSeparator" w:id="0">
    <w:p w14:paraId="7DC84A6C" w14:textId="77777777" w:rsidR="00E01362" w:rsidRDefault="00E013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9865D" w14:textId="77777777" w:rsidR="00F903F3" w:rsidRDefault="00F903F3" w:rsidP="00325E49">
    <w:pPr>
      <w:pStyle w:val="Footer"/>
    </w:pPr>
  </w:p>
  <w:p w14:paraId="3959865E" w14:textId="77777777" w:rsidR="00F903F3" w:rsidRDefault="00000000" w:rsidP="00325E49">
    <w:pPr>
      <w:pStyle w:val="Footer"/>
    </w:pPr>
    <w:sdt>
      <w:sdtPr>
        <w:alias w:val="DocID"/>
        <w:tag w:val="DocID"/>
        <w:id w:val="1506560089"/>
        <w:text/>
      </w:sdtPr>
      <w:sdtContent>
        <w:r>
          <w:t xml:space="preserve">     </w:t>
        </w:r>
      </w:sdtContent>
    </w:sdt>
    <w:r>
      <w:tab/>
    </w:r>
    <w:r>
      <w:tab/>
    </w:r>
    <w:sdt>
      <w:sdtPr>
        <w:alias w:val="Firm name"/>
        <w:tag w:val="FirmName"/>
        <w:id w:val="-448084639"/>
        <w:showingPlcHdr/>
        <w:text/>
      </w:sdtPr>
      <w:sdtContent/>
    </w:sdt>
  </w:p>
  <w:p w14:paraId="3959865F" w14:textId="77777777" w:rsidR="00F903F3" w:rsidRDefault="00F90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98660" w14:textId="77777777" w:rsidR="00F903F3" w:rsidRDefault="00F903F3" w:rsidP="00C46C82">
    <w:pPr>
      <w:pStyle w:val="Footer"/>
    </w:pPr>
  </w:p>
  <w:p w14:paraId="39598661" w14:textId="77777777" w:rsidR="00F903F3" w:rsidRDefault="00000000" w:rsidP="00C46C82">
    <w:pPr>
      <w:pStyle w:val="Footer"/>
    </w:pPr>
    <w:sdt>
      <w:sdtPr>
        <w:alias w:val="DocID"/>
        <w:tag w:val="DocID"/>
        <w:id w:val="-1417707420"/>
        <w:text/>
      </w:sdtPr>
      <w:sdtContent>
        <w:r>
          <w:t xml:space="preserve">     </w:t>
        </w:r>
      </w:sdtContent>
    </w:sdt>
    <w:r>
      <w:tab/>
    </w:r>
    <w:r>
      <w:tab/>
    </w:r>
    <w:sdt>
      <w:sdtPr>
        <w:alias w:val="Firm name"/>
        <w:tag w:val="FirmName"/>
        <w:id w:val="-565877776"/>
        <w:showingPlcHdr/>
        <w:text/>
      </w:sdtPr>
      <w:sdtContent/>
    </w:sdt>
  </w:p>
  <w:p w14:paraId="39598662" w14:textId="77777777" w:rsidR="00F903F3" w:rsidRDefault="00F90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6D3E4" w14:textId="77777777" w:rsidR="00E01362" w:rsidRDefault="00E01362">
      <w:pPr>
        <w:spacing w:line="240" w:lineRule="auto"/>
      </w:pPr>
      <w:r>
        <w:separator/>
      </w:r>
    </w:p>
  </w:footnote>
  <w:footnote w:type="continuationSeparator" w:id="0">
    <w:p w14:paraId="1A36A482" w14:textId="77777777" w:rsidR="00E01362" w:rsidRDefault="00E013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9865A" w14:textId="77777777" w:rsidR="00AF4E83" w:rsidRDefault="00AF4E83" w:rsidP="00DC152F">
    <w:pPr>
      <w:pStyle w:val="Header"/>
    </w:pPr>
  </w:p>
  <w:p w14:paraId="3959865B" w14:textId="77777777" w:rsidR="00AF4E83" w:rsidRDefault="00AF4E83" w:rsidP="008660CB">
    <w:pPr>
      <w:pStyle w:val="Header"/>
      <w:jc w:val="left"/>
    </w:pPr>
  </w:p>
  <w:p w14:paraId="3959865C" w14:textId="77777777" w:rsidR="00AF4E83" w:rsidRDefault="00AF4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E636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941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6814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3E19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F8A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2278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249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A00F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AD6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14FA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74F7D"/>
    <w:multiLevelType w:val="multilevel"/>
    <w:tmpl w:val="0790824A"/>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73B5547"/>
    <w:multiLevelType w:val="hybridMultilevel"/>
    <w:tmpl w:val="A888E40E"/>
    <w:lvl w:ilvl="0" w:tplc="87148436">
      <w:start w:val="1"/>
      <w:numFmt w:val="upperLetter"/>
      <w:pStyle w:val="Recitals"/>
      <w:lvlText w:val="(%1)"/>
      <w:lvlJc w:val="left"/>
      <w:pPr>
        <w:tabs>
          <w:tab w:val="num" w:pos="709"/>
        </w:tabs>
        <w:ind w:left="709" w:hanging="709"/>
      </w:pPr>
      <w:rPr>
        <w:rFonts w:hint="default"/>
      </w:rPr>
    </w:lvl>
    <w:lvl w:ilvl="1" w:tplc="746610D0" w:tentative="1">
      <w:start w:val="1"/>
      <w:numFmt w:val="lowerLetter"/>
      <w:lvlText w:val="%2."/>
      <w:lvlJc w:val="left"/>
      <w:pPr>
        <w:tabs>
          <w:tab w:val="num" w:pos="1440"/>
        </w:tabs>
        <w:ind w:left="1440" w:hanging="360"/>
      </w:pPr>
    </w:lvl>
    <w:lvl w:ilvl="2" w:tplc="6A64DC0C" w:tentative="1">
      <w:start w:val="1"/>
      <w:numFmt w:val="lowerRoman"/>
      <w:lvlText w:val="%3."/>
      <w:lvlJc w:val="right"/>
      <w:pPr>
        <w:tabs>
          <w:tab w:val="num" w:pos="2160"/>
        </w:tabs>
        <w:ind w:left="2160" w:hanging="180"/>
      </w:pPr>
    </w:lvl>
    <w:lvl w:ilvl="3" w:tplc="46442A5E" w:tentative="1">
      <w:start w:val="1"/>
      <w:numFmt w:val="decimal"/>
      <w:lvlText w:val="%4."/>
      <w:lvlJc w:val="left"/>
      <w:pPr>
        <w:tabs>
          <w:tab w:val="num" w:pos="2880"/>
        </w:tabs>
        <w:ind w:left="2880" w:hanging="360"/>
      </w:pPr>
    </w:lvl>
    <w:lvl w:ilvl="4" w:tplc="CFA0D97A" w:tentative="1">
      <w:start w:val="1"/>
      <w:numFmt w:val="lowerLetter"/>
      <w:lvlText w:val="%5."/>
      <w:lvlJc w:val="left"/>
      <w:pPr>
        <w:tabs>
          <w:tab w:val="num" w:pos="3600"/>
        </w:tabs>
        <w:ind w:left="3600" w:hanging="360"/>
      </w:pPr>
    </w:lvl>
    <w:lvl w:ilvl="5" w:tplc="9C36716A" w:tentative="1">
      <w:start w:val="1"/>
      <w:numFmt w:val="lowerRoman"/>
      <w:lvlText w:val="%6."/>
      <w:lvlJc w:val="right"/>
      <w:pPr>
        <w:tabs>
          <w:tab w:val="num" w:pos="4320"/>
        </w:tabs>
        <w:ind w:left="4320" w:hanging="180"/>
      </w:pPr>
    </w:lvl>
    <w:lvl w:ilvl="6" w:tplc="5B121916" w:tentative="1">
      <w:start w:val="1"/>
      <w:numFmt w:val="decimal"/>
      <w:lvlText w:val="%7."/>
      <w:lvlJc w:val="left"/>
      <w:pPr>
        <w:tabs>
          <w:tab w:val="num" w:pos="5040"/>
        </w:tabs>
        <w:ind w:left="5040" w:hanging="360"/>
      </w:pPr>
    </w:lvl>
    <w:lvl w:ilvl="7" w:tplc="BD68E91A" w:tentative="1">
      <w:start w:val="1"/>
      <w:numFmt w:val="lowerLetter"/>
      <w:lvlText w:val="%8."/>
      <w:lvlJc w:val="left"/>
      <w:pPr>
        <w:tabs>
          <w:tab w:val="num" w:pos="5760"/>
        </w:tabs>
        <w:ind w:left="5760" w:hanging="360"/>
      </w:pPr>
    </w:lvl>
    <w:lvl w:ilvl="8" w:tplc="145A0F72" w:tentative="1">
      <w:start w:val="1"/>
      <w:numFmt w:val="lowerRoman"/>
      <w:lvlText w:val="%9."/>
      <w:lvlJc w:val="right"/>
      <w:pPr>
        <w:tabs>
          <w:tab w:val="num" w:pos="6480"/>
        </w:tabs>
        <w:ind w:left="6480" w:hanging="180"/>
      </w:pPr>
    </w:lvl>
  </w:abstractNum>
  <w:abstractNum w:abstractNumId="12" w15:restartNumberingAfterBreak="0">
    <w:nsid w:val="1998034E"/>
    <w:multiLevelType w:val="hybridMultilevel"/>
    <w:tmpl w:val="B78E76CA"/>
    <w:lvl w:ilvl="0" w:tplc="19F07DDE">
      <w:start w:val="1"/>
      <w:numFmt w:val="decimal"/>
      <w:pStyle w:val="TOC4"/>
      <w:lvlText w:val="%1."/>
      <w:lvlJc w:val="left"/>
      <w:pPr>
        <w:ind w:left="360" w:hanging="360"/>
      </w:pPr>
      <w:rPr>
        <w:rFonts w:ascii="Arial Bold" w:hAnsi="Arial Bold" w:hint="default"/>
        <w:b/>
        <w:i w:val="0"/>
        <w:sz w:val="21"/>
      </w:rPr>
    </w:lvl>
    <w:lvl w:ilvl="1" w:tplc="413E52E4" w:tentative="1">
      <w:start w:val="1"/>
      <w:numFmt w:val="lowerLetter"/>
      <w:lvlText w:val="%2."/>
      <w:lvlJc w:val="left"/>
      <w:pPr>
        <w:ind w:left="3566" w:hanging="360"/>
      </w:pPr>
    </w:lvl>
    <w:lvl w:ilvl="2" w:tplc="85580CD4" w:tentative="1">
      <w:start w:val="1"/>
      <w:numFmt w:val="lowerRoman"/>
      <w:lvlText w:val="%3."/>
      <w:lvlJc w:val="right"/>
      <w:pPr>
        <w:ind w:left="4286" w:hanging="180"/>
      </w:pPr>
    </w:lvl>
    <w:lvl w:ilvl="3" w:tplc="69847564" w:tentative="1">
      <w:start w:val="1"/>
      <w:numFmt w:val="decimal"/>
      <w:lvlText w:val="%4."/>
      <w:lvlJc w:val="left"/>
      <w:pPr>
        <w:ind w:left="5006" w:hanging="360"/>
      </w:pPr>
    </w:lvl>
    <w:lvl w:ilvl="4" w:tplc="16844852" w:tentative="1">
      <w:start w:val="1"/>
      <w:numFmt w:val="lowerLetter"/>
      <w:lvlText w:val="%5."/>
      <w:lvlJc w:val="left"/>
      <w:pPr>
        <w:ind w:left="5726" w:hanging="360"/>
      </w:pPr>
    </w:lvl>
    <w:lvl w:ilvl="5" w:tplc="FC2A678E" w:tentative="1">
      <w:start w:val="1"/>
      <w:numFmt w:val="lowerRoman"/>
      <w:lvlText w:val="%6."/>
      <w:lvlJc w:val="right"/>
      <w:pPr>
        <w:ind w:left="6446" w:hanging="180"/>
      </w:pPr>
    </w:lvl>
    <w:lvl w:ilvl="6" w:tplc="371EDE9A" w:tentative="1">
      <w:start w:val="1"/>
      <w:numFmt w:val="decimal"/>
      <w:lvlText w:val="%7."/>
      <w:lvlJc w:val="left"/>
      <w:pPr>
        <w:ind w:left="7166" w:hanging="360"/>
      </w:pPr>
    </w:lvl>
    <w:lvl w:ilvl="7" w:tplc="79F074AA" w:tentative="1">
      <w:start w:val="1"/>
      <w:numFmt w:val="lowerLetter"/>
      <w:lvlText w:val="%8."/>
      <w:lvlJc w:val="left"/>
      <w:pPr>
        <w:ind w:left="7886" w:hanging="360"/>
      </w:pPr>
    </w:lvl>
    <w:lvl w:ilvl="8" w:tplc="2F5C31F8" w:tentative="1">
      <w:start w:val="1"/>
      <w:numFmt w:val="lowerRoman"/>
      <w:lvlText w:val="%9."/>
      <w:lvlJc w:val="right"/>
      <w:pPr>
        <w:ind w:left="8606" w:hanging="180"/>
      </w:pPr>
    </w:lvl>
  </w:abstractNum>
  <w:abstractNum w:abstractNumId="13"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15"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9733166"/>
    <w:multiLevelType w:val="hybridMultilevel"/>
    <w:tmpl w:val="3C865FF6"/>
    <w:lvl w:ilvl="0" w:tplc="4ED842D2">
      <w:start w:val="1"/>
      <w:numFmt w:val="decimal"/>
      <w:pStyle w:val="Parties"/>
      <w:lvlText w:val="(%1)"/>
      <w:lvlJc w:val="left"/>
      <w:pPr>
        <w:tabs>
          <w:tab w:val="num" w:pos="709"/>
        </w:tabs>
        <w:ind w:left="709" w:hanging="709"/>
      </w:pPr>
      <w:rPr>
        <w:rFonts w:hint="default"/>
      </w:rPr>
    </w:lvl>
    <w:lvl w:ilvl="1" w:tplc="E27062BC" w:tentative="1">
      <w:start w:val="1"/>
      <w:numFmt w:val="lowerLetter"/>
      <w:lvlText w:val="%2."/>
      <w:lvlJc w:val="left"/>
      <w:pPr>
        <w:tabs>
          <w:tab w:val="num" w:pos="1440"/>
        </w:tabs>
        <w:ind w:left="1440" w:hanging="360"/>
      </w:pPr>
    </w:lvl>
    <w:lvl w:ilvl="2" w:tplc="43AED714" w:tentative="1">
      <w:start w:val="1"/>
      <w:numFmt w:val="lowerRoman"/>
      <w:lvlText w:val="%3."/>
      <w:lvlJc w:val="right"/>
      <w:pPr>
        <w:tabs>
          <w:tab w:val="num" w:pos="2160"/>
        </w:tabs>
        <w:ind w:left="2160" w:hanging="180"/>
      </w:pPr>
    </w:lvl>
    <w:lvl w:ilvl="3" w:tplc="A88EC146" w:tentative="1">
      <w:start w:val="1"/>
      <w:numFmt w:val="decimal"/>
      <w:lvlText w:val="%4."/>
      <w:lvlJc w:val="left"/>
      <w:pPr>
        <w:tabs>
          <w:tab w:val="num" w:pos="2880"/>
        </w:tabs>
        <w:ind w:left="2880" w:hanging="360"/>
      </w:pPr>
    </w:lvl>
    <w:lvl w:ilvl="4" w:tplc="55D4FE7A" w:tentative="1">
      <w:start w:val="1"/>
      <w:numFmt w:val="lowerLetter"/>
      <w:lvlText w:val="%5."/>
      <w:lvlJc w:val="left"/>
      <w:pPr>
        <w:tabs>
          <w:tab w:val="num" w:pos="3600"/>
        </w:tabs>
        <w:ind w:left="3600" w:hanging="360"/>
      </w:pPr>
    </w:lvl>
    <w:lvl w:ilvl="5" w:tplc="3A02D172" w:tentative="1">
      <w:start w:val="1"/>
      <w:numFmt w:val="lowerRoman"/>
      <w:lvlText w:val="%6."/>
      <w:lvlJc w:val="right"/>
      <w:pPr>
        <w:tabs>
          <w:tab w:val="num" w:pos="4320"/>
        </w:tabs>
        <w:ind w:left="4320" w:hanging="180"/>
      </w:pPr>
    </w:lvl>
    <w:lvl w:ilvl="6" w:tplc="B8868190" w:tentative="1">
      <w:start w:val="1"/>
      <w:numFmt w:val="decimal"/>
      <w:lvlText w:val="%7."/>
      <w:lvlJc w:val="left"/>
      <w:pPr>
        <w:tabs>
          <w:tab w:val="num" w:pos="5040"/>
        </w:tabs>
        <w:ind w:left="5040" w:hanging="360"/>
      </w:pPr>
    </w:lvl>
    <w:lvl w:ilvl="7" w:tplc="015C6174" w:tentative="1">
      <w:start w:val="1"/>
      <w:numFmt w:val="lowerLetter"/>
      <w:lvlText w:val="%8."/>
      <w:lvlJc w:val="left"/>
      <w:pPr>
        <w:tabs>
          <w:tab w:val="num" w:pos="5760"/>
        </w:tabs>
        <w:ind w:left="5760" w:hanging="360"/>
      </w:pPr>
    </w:lvl>
    <w:lvl w:ilvl="8" w:tplc="216805FC" w:tentative="1">
      <w:start w:val="1"/>
      <w:numFmt w:val="lowerRoman"/>
      <w:lvlText w:val="%9."/>
      <w:lvlJc w:val="right"/>
      <w:pPr>
        <w:tabs>
          <w:tab w:val="num" w:pos="6480"/>
        </w:tabs>
        <w:ind w:left="6480" w:hanging="180"/>
      </w:pPr>
    </w:lvl>
  </w:abstractNum>
  <w:abstractNum w:abstractNumId="17" w15:restartNumberingAfterBreak="0">
    <w:nsid w:val="7F8567A6"/>
    <w:multiLevelType w:val="hybridMultilevel"/>
    <w:tmpl w:val="206C2D9E"/>
    <w:lvl w:ilvl="0" w:tplc="F06268B6">
      <w:start w:val="1"/>
      <w:numFmt w:val="decimal"/>
      <w:lvlText w:val="%1."/>
      <w:lvlJc w:val="left"/>
      <w:pPr>
        <w:ind w:left="720" w:hanging="360"/>
      </w:pPr>
      <w:rPr>
        <w:rFonts w:hint="default"/>
        <w:b/>
        <w:i w:val="0"/>
      </w:rPr>
    </w:lvl>
    <w:lvl w:ilvl="1" w:tplc="8454EE56" w:tentative="1">
      <w:start w:val="1"/>
      <w:numFmt w:val="lowerLetter"/>
      <w:lvlText w:val="%2."/>
      <w:lvlJc w:val="left"/>
      <w:pPr>
        <w:ind w:left="1440" w:hanging="360"/>
      </w:pPr>
    </w:lvl>
    <w:lvl w:ilvl="2" w:tplc="E12C1ABA" w:tentative="1">
      <w:start w:val="1"/>
      <w:numFmt w:val="lowerRoman"/>
      <w:lvlText w:val="%3."/>
      <w:lvlJc w:val="right"/>
      <w:pPr>
        <w:ind w:left="2160" w:hanging="180"/>
      </w:pPr>
    </w:lvl>
    <w:lvl w:ilvl="3" w:tplc="D8C0B812" w:tentative="1">
      <w:start w:val="1"/>
      <w:numFmt w:val="decimal"/>
      <w:lvlText w:val="%4."/>
      <w:lvlJc w:val="left"/>
      <w:pPr>
        <w:ind w:left="2880" w:hanging="360"/>
      </w:pPr>
    </w:lvl>
    <w:lvl w:ilvl="4" w:tplc="2FC895E0" w:tentative="1">
      <w:start w:val="1"/>
      <w:numFmt w:val="lowerLetter"/>
      <w:lvlText w:val="%5."/>
      <w:lvlJc w:val="left"/>
      <w:pPr>
        <w:ind w:left="3600" w:hanging="360"/>
      </w:pPr>
    </w:lvl>
    <w:lvl w:ilvl="5" w:tplc="4564851A" w:tentative="1">
      <w:start w:val="1"/>
      <w:numFmt w:val="lowerRoman"/>
      <w:lvlText w:val="%6."/>
      <w:lvlJc w:val="right"/>
      <w:pPr>
        <w:ind w:left="4320" w:hanging="180"/>
      </w:pPr>
    </w:lvl>
    <w:lvl w:ilvl="6" w:tplc="C2B6361C" w:tentative="1">
      <w:start w:val="1"/>
      <w:numFmt w:val="decimal"/>
      <w:lvlText w:val="%7."/>
      <w:lvlJc w:val="left"/>
      <w:pPr>
        <w:ind w:left="5040" w:hanging="360"/>
      </w:pPr>
    </w:lvl>
    <w:lvl w:ilvl="7" w:tplc="6046E20C" w:tentative="1">
      <w:start w:val="1"/>
      <w:numFmt w:val="lowerLetter"/>
      <w:lvlText w:val="%8."/>
      <w:lvlJc w:val="left"/>
      <w:pPr>
        <w:ind w:left="5760" w:hanging="360"/>
      </w:pPr>
    </w:lvl>
    <w:lvl w:ilvl="8" w:tplc="73306AAE" w:tentative="1">
      <w:start w:val="1"/>
      <w:numFmt w:val="lowerRoman"/>
      <w:lvlText w:val="%9."/>
      <w:lvlJc w:val="right"/>
      <w:pPr>
        <w:ind w:left="6480" w:hanging="180"/>
      </w:pPr>
    </w:lvl>
  </w:abstractNum>
  <w:num w:numId="1" w16cid:durableId="155536347">
    <w:abstractNumId w:val="10"/>
  </w:num>
  <w:num w:numId="2" w16cid:durableId="925455814">
    <w:abstractNumId w:val="13"/>
  </w:num>
  <w:num w:numId="3" w16cid:durableId="694581324">
    <w:abstractNumId w:val="16"/>
  </w:num>
  <w:num w:numId="4" w16cid:durableId="1782913758">
    <w:abstractNumId w:val="11"/>
  </w:num>
  <w:num w:numId="5" w16cid:durableId="938876600">
    <w:abstractNumId w:val="14"/>
  </w:num>
  <w:num w:numId="6" w16cid:durableId="1721517264">
    <w:abstractNumId w:val="9"/>
  </w:num>
  <w:num w:numId="7" w16cid:durableId="689112746">
    <w:abstractNumId w:val="7"/>
  </w:num>
  <w:num w:numId="8" w16cid:durableId="1222599570">
    <w:abstractNumId w:val="6"/>
  </w:num>
  <w:num w:numId="9" w16cid:durableId="541668885">
    <w:abstractNumId w:val="5"/>
  </w:num>
  <w:num w:numId="10" w16cid:durableId="2096200867">
    <w:abstractNumId w:val="4"/>
  </w:num>
  <w:num w:numId="11" w16cid:durableId="1318219216">
    <w:abstractNumId w:val="8"/>
  </w:num>
  <w:num w:numId="12" w16cid:durableId="1488203400">
    <w:abstractNumId w:val="3"/>
  </w:num>
  <w:num w:numId="13" w16cid:durableId="1363827999">
    <w:abstractNumId w:val="2"/>
  </w:num>
  <w:num w:numId="14" w16cid:durableId="2124961707">
    <w:abstractNumId w:val="1"/>
  </w:num>
  <w:num w:numId="15" w16cid:durableId="1149786109">
    <w:abstractNumId w:val="0"/>
  </w:num>
  <w:num w:numId="16" w16cid:durableId="56562374">
    <w:abstractNumId w:val="12"/>
  </w:num>
  <w:num w:numId="17" w16cid:durableId="2028482103">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08"/>
    <w:rsid w:val="00001EFF"/>
    <w:rsid w:val="00002F65"/>
    <w:rsid w:val="000174DD"/>
    <w:rsid w:val="00040E28"/>
    <w:rsid w:val="00041450"/>
    <w:rsid w:val="0004544B"/>
    <w:rsid w:val="00071E3B"/>
    <w:rsid w:val="00083E24"/>
    <w:rsid w:val="000903CA"/>
    <w:rsid w:val="00091813"/>
    <w:rsid w:val="00092533"/>
    <w:rsid w:val="00093909"/>
    <w:rsid w:val="000A6825"/>
    <w:rsid w:val="000A7590"/>
    <w:rsid w:val="000B5CE3"/>
    <w:rsid w:val="000C1974"/>
    <w:rsid w:val="000C3424"/>
    <w:rsid w:val="000D77B5"/>
    <w:rsid w:val="000D7A8E"/>
    <w:rsid w:val="000E29E7"/>
    <w:rsid w:val="000E4D60"/>
    <w:rsid w:val="00101A53"/>
    <w:rsid w:val="00112B29"/>
    <w:rsid w:val="0011634C"/>
    <w:rsid w:val="001213C6"/>
    <w:rsid w:val="00134AE3"/>
    <w:rsid w:val="0013711B"/>
    <w:rsid w:val="001645D1"/>
    <w:rsid w:val="00164A05"/>
    <w:rsid w:val="001913C1"/>
    <w:rsid w:val="001B164C"/>
    <w:rsid w:val="001B4F9F"/>
    <w:rsid w:val="001C3695"/>
    <w:rsid w:val="001D7CCC"/>
    <w:rsid w:val="002213B5"/>
    <w:rsid w:val="00225252"/>
    <w:rsid w:val="00247E76"/>
    <w:rsid w:val="0025196A"/>
    <w:rsid w:val="0027059F"/>
    <w:rsid w:val="00284B7B"/>
    <w:rsid w:val="00284EA4"/>
    <w:rsid w:val="00296DBD"/>
    <w:rsid w:val="002B3E9E"/>
    <w:rsid w:val="002C0B79"/>
    <w:rsid w:val="002C6598"/>
    <w:rsid w:val="002D6180"/>
    <w:rsid w:val="00325E49"/>
    <w:rsid w:val="003443D5"/>
    <w:rsid w:val="00354458"/>
    <w:rsid w:val="00362D12"/>
    <w:rsid w:val="003A37FD"/>
    <w:rsid w:val="003C4058"/>
    <w:rsid w:val="003C4640"/>
    <w:rsid w:val="003D19AA"/>
    <w:rsid w:val="003D599E"/>
    <w:rsid w:val="003E4347"/>
    <w:rsid w:val="00412CE6"/>
    <w:rsid w:val="004318BF"/>
    <w:rsid w:val="00436B0E"/>
    <w:rsid w:val="0043708A"/>
    <w:rsid w:val="00443C4F"/>
    <w:rsid w:val="00460539"/>
    <w:rsid w:val="00474065"/>
    <w:rsid w:val="00486920"/>
    <w:rsid w:val="004A6740"/>
    <w:rsid w:val="004B05D7"/>
    <w:rsid w:val="004C31F3"/>
    <w:rsid w:val="005045A9"/>
    <w:rsid w:val="00521D74"/>
    <w:rsid w:val="005427ED"/>
    <w:rsid w:val="00547D7B"/>
    <w:rsid w:val="00563D29"/>
    <w:rsid w:val="005750C7"/>
    <w:rsid w:val="00586325"/>
    <w:rsid w:val="005A2820"/>
    <w:rsid w:val="005A54BC"/>
    <w:rsid w:val="005C48DA"/>
    <w:rsid w:val="005C58DF"/>
    <w:rsid w:val="005D7A96"/>
    <w:rsid w:val="005E64D0"/>
    <w:rsid w:val="005F30A9"/>
    <w:rsid w:val="00611F80"/>
    <w:rsid w:val="00615756"/>
    <w:rsid w:val="00631605"/>
    <w:rsid w:val="0063519A"/>
    <w:rsid w:val="00637CE7"/>
    <w:rsid w:val="00641981"/>
    <w:rsid w:val="0066349C"/>
    <w:rsid w:val="00664EC6"/>
    <w:rsid w:val="00665A5B"/>
    <w:rsid w:val="00671861"/>
    <w:rsid w:val="00683330"/>
    <w:rsid w:val="006E1EA1"/>
    <w:rsid w:val="007043FC"/>
    <w:rsid w:val="00790859"/>
    <w:rsid w:val="007B159D"/>
    <w:rsid w:val="007C03F7"/>
    <w:rsid w:val="007D10E8"/>
    <w:rsid w:val="007D4683"/>
    <w:rsid w:val="007F7F66"/>
    <w:rsid w:val="00822317"/>
    <w:rsid w:val="00826150"/>
    <w:rsid w:val="00827FF9"/>
    <w:rsid w:val="008305D6"/>
    <w:rsid w:val="00836488"/>
    <w:rsid w:val="008660CB"/>
    <w:rsid w:val="00872BDC"/>
    <w:rsid w:val="00876524"/>
    <w:rsid w:val="008A4246"/>
    <w:rsid w:val="008B2806"/>
    <w:rsid w:val="008C15DB"/>
    <w:rsid w:val="008C2F7A"/>
    <w:rsid w:val="008C77D5"/>
    <w:rsid w:val="009116E3"/>
    <w:rsid w:val="00911B48"/>
    <w:rsid w:val="00926C53"/>
    <w:rsid w:val="0095152E"/>
    <w:rsid w:val="009515B0"/>
    <w:rsid w:val="00957028"/>
    <w:rsid w:val="00966A7F"/>
    <w:rsid w:val="009A1F3C"/>
    <w:rsid w:val="009A5A44"/>
    <w:rsid w:val="009B2F07"/>
    <w:rsid w:val="009B7FC4"/>
    <w:rsid w:val="009C7A31"/>
    <w:rsid w:val="009D24F1"/>
    <w:rsid w:val="009E5624"/>
    <w:rsid w:val="009F3AA9"/>
    <w:rsid w:val="009F407B"/>
    <w:rsid w:val="009F5E0D"/>
    <w:rsid w:val="00A11298"/>
    <w:rsid w:val="00A23128"/>
    <w:rsid w:val="00A3791B"/>
    <w:rsid w:val="00A446D5"/>
    <w:rsid w:val="00A47C60"/>
    <w:rsid w:val="00A54CED"/>
    <w:rsid w:val="00A73B2A"/>
    <w:rsid w:val="00A747FE"/>
    <w:rsid w:val="00AA422A"/>
    <w:rsid w:val="00AB2BC5"/>
    <w:rsid w:val="00AC67C2"/>
    <w:rsid w:val="00AD2466"/>
    <w:rsid w:val="00AE6229"/>
    <w:rsid w:val="00AF2F6C"/>
    <w:rsid w:val="00AF4E83"/>
    <w:rsid w:val="00B600EB"/>
    <w:rsid w:val="00B708F5"/>
    <w:rsid w:val="00B8026E"/>
    <w:rsid w:val="00BE7F58"/>
    <w:rsid w:val="00BF1406"/>
    <w:rsid w:val="00BF6223"/>
    <w:rsid w:val="00C005A3"/>
    <w:rsid w:val="00C05BB4"/>
    <w:rsid w:val="00C10D16"/>
    <w:rsid w:val="00C1247B"/>
    <w:rsid w:val="00C25254"/>
    <w:rsid w:val="00C266C0"/>
    <w:rsid w:val="00C372A1"/>
    <w:rsid w:val="00C40C31"/>
    <w:rsid w:val="00C43E27"/>
    <w:rsid w:val="00C46C82"/>
    <w:rsid w:val="00C77C6E"/>
    <w:rsid w:val="00C8006E"/>
    <w:rsid w:val="00C958F2"/>
    <w:rsid w:val="00C96286"/>
    <w:rsid w:val="00CC10E7"/>
    <w:rsid w:val="00CD1BF3"/>
    <w:rsid w:val="00CD3C44"/>
    <w:rsid w:val="00CE2D50"/>
    <w:rsid w:val="00CE7735"/>
    <w:rsid w:val="00D03D1D"/>
    <w:rsid w:val="00D2538C"/>
    <w:rsid w:val="00D25E01"/>
    <w:rsid w:val="00D304E8"/>
    <w:rsid w:val="00D310C4"/>
    <w:rsid w:val="00D67411"/>
    <w:rsid w:val="00DB4683"/>
    <w:rsid w:val="00DB60B0"/>
    <w:rsid w:val="00DC11C1"/>
    <w:rsid w:val="00DC152F"/>
    <w:rsid w:val="00DC2284"/>
    <w:rsid w:val="00DE129D"/>
    <w:rsid w:val="00DE3288"/>
    <w:rsid w:val="00DE3A4D"/>
    <w:rsid w:val="00DF0E09"/>
    <w:rsid w:val="00DF3BAC"/>
    <w:rsid w:val="00E01362"/>
    <w:rsid w:val="00E45680"/>
    <w:rsid w:val="00E56208"/>
    <w:rsid w:val="00E61F2A"/>
    <w:rsid w:val="00E87571"/>
    <w:rsid w:val="00E9015E"/>
    <w:rsid w:val="00EB06F3"/>
    <w:rsid w:val="00ED08A9"/>
    <w:rsid w:val="00EE5E05"/>
    <w:rsid w:val="00F164AB"/>
    <w:rsid w:val="00F457A1"/>
    <w:rsid w:val="00F70CE8"/>
    <w:rsid w:val="00F75BC7"/>
    <w:rsid w:val="00F82CC8"/>
    <w:rsid w:val="00F839CF"/>
    <w:rsid w:val="00F903F3"/>
    <w:rsid w:val="00F95754"/>
    <w:rsid w:val="00FB2B42"/>
    <w:rsid w:val="00FC3332"/>
    <w:rsid w:val="00FC4900"/>
    <w:rsid w:val="00FD7F29"/>
    <w:rsid w:val="00FE1786"/>
    <w:rsid w:val="00FE5D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14839"/>
  <w15:docId w15:val="{7D5DC5A1-3662-41B3-9514-8F8782A0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33"/>
    <w:lsdException w:name="Document Map" w:semiHidden="1" w:unhideWhenUsed="1"/>
    <w:lsdException w:name="Plain Text" w:semiHidden="1" w:unhideWhenUsed="1"/>
    <w:lsdException w:name="E-mail Signature" w:semiHidden="1" w:uiPriority="17" w:unhideWhenUsed="1"/>
    <w:lsdException w:name="HTML Top of Form" w:semiHidden="1" w:unhideWhenUsed="1"/>
    <w:lsdException w:name="HTML Bottom of Form" w:semiHidden="1" w:unhideWhenUsed="1"/>
    <w:lsdException w:name="Normal (Web)" w:semiHidden="1"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semiHidden="1"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34"/>
    <w:lsdException w:name="Intense Emphasis" w:semiHidden="1" w:uiPriority="59"/>
    <w:lsdException w:name="Subtle Reference" w:semiHidden="1" w:uiPriority="41" w:qFormat="1"/>
    <w:lsdException w:name="Intense Reference" w:semiHidden="1" w:uiPriority="59" w:qFormat="1"/>
    <w:lsdException w:name="Book Title" w:uiPriority="33"/>
    <w:lsdException w:name="Bibliography" w:semiHidden="1" w:uiPriority="4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5045A9"/>
    <w:rPr>
      <w:rFonts w:eastAsia="Arial Unicode MS"/>
    </w:rPr>
  </w:style>
  <w:style w:type="paragraph" w:styleId="Heading1">
    <w:name w:val="heading 1"/>
    <w:basedOn w:val="Level1"/>
    <w:next w:val="Body2"/>
    <w:link w:val="Heading1Char"/>
    <w:uiPriority w:val="4"/>
    <w:qFormat/>
    <w:rsid w:val="00002F65"/>
    <w:pPr>
      <w:keepNext/>
    </w:pPr>
    <w:rPr>
      <w:b/>
      <w:smallCaps/>
    </w:rPr>
  </w:style>
  <w:style w:type="paragraph" w:styleId="Heading2">
    <w:name w:val="heading 2"/>
    <w:basedOn w:val="Level2"/>
    <w:next w:val="Body2"/>
    <w:link w:val="Heading2Char"/>
    <w:uiPriority w:val="4"/>
    <w:qFormat/>
    <w:rsid w:val="00002F65"/>
    <w:pPr>
      <w:keepNext/>
    </w:pPr>
    <w:rPr>
      <w:b/>
    </w:rPr>
  </w:style>
  <w:style w:type="paragraph" w:styleId="Heading3">
    <w:name w:val="heading 3"/>
    <w:basedOn w:val="Level3"/>
    <w:next w:val="Body3"/>
    <w:link w:val="Heading3Char"/>
    <w:uiPriority w:val="4"/>
    <w:qFormat/>
    <w:rsid w:val="00002F65"/>
    <w:pPr>
      <w:keepNext/>
      <w:ind w:left="1418" w:hanging="709"/>
    </w:pPr>
    <w:rPr>
      <w:b/>
    </w:rPr>
  </w:style>
  <w:style w:type="paragraph" w:styleId="Heading4">
    <w:name w:val="heading 4"/>
    <w:basedOn w:val="Level4"/>
    <w:next w:val="Body4"/>
    <w:link w:val="Heading4Char"/>
    <w:uiPriority w:val="5"/>
    <w:semiHidden/>
    <w:qFormat/>
    <w:rsid w:val="00002F65"/>
    <w:pPr>
      <w:keepNext/>
      <w:numPr>
        <w:numId w:val="2"/>
      </w:numPr>
      <w:ind w:left="2127"/>
    </w:pPr>
    <w:rPr>
      <w:rFonts w:ascii="Arial Bold" w:hAnsi="Arial Bold"/>
      <w:b/>
    </w:rPr>
  </w:style>
  <w:style w:type="paragraph" w:styleId="Heading5">
    <w:name w:val="heading 5"/>
    <w:basedOn w:val="Normal"/>
    <w:next w:val="Normal"/>
    <w:link w:val="Heading5Char"/>
    <w:uiPriority w:val="5"/>
    <w:semiHidden/>
    <w:qFormat/>
    <w:pPr>
      <w:spacing w:before="240" w:after="60"/>
      <w:outlineLvl w:val="4"/>
    </w:pPr>
    <w:rPr>
      <w:sz w:val="22"/>
    </w:rPr>
  </w:style>
  <w:style w:type="paragraph" w:styleId="Heading6">
    <w:name w:val="heading 6"/>
    <w:basedOn w:val="Normal"/>
    <w:next w:val="Normal"/>
    <w:uiPriority w:val="16"/>
    <w:semiHidden/>
    <w:qFormat/>
    <w:pPr>
      <w:spacing w:before="240" w:after="60"/>
      <w:outlineLvl w:val="5"/>
    </w:pPr>
    <w:rPr>
      <w:rFonts w:ascii="Times New Roman" w:hAnsi="Times New Roman"/>
      <w:i/>
      <w:sz w:val="22"/>
    </w:rPr>
  </w:style>
  <w:style w:type="paragraph" w:styleId="Heading7">
    <w:name w:val="heading 7"/>
    <w:basedOn w:val="Normal"/>
    <w:next w:val="Normal"/>
    <w:uiPriority w:val="16"/>
    <w:semiHidden/>
    <w:qFormat/>
    <w:pPr>
      <w:spacing w:before="240" w:after="60"/>
      <w:outlineLvl w:val="6"/>
    </w:pPr>
    <w:rPr>
      <w:sz w:val="20"/>
    </w:rPr>
  </w:style>
  <w:style w:type="paragraph" w:styleId="Heading8">
    <w:name w:val="heading 8"/>
    <w:basedOn w:val="Normal"/>
    <w:next w:val="Normal"/>
    <w:uiPriority w:val="16"/>
    <w:semiHidden/>
    <w:qFormat/>
    <w:pPr>
      <w:spacing w:before="240" w:after="60"/>
      <w:outlineLvl w:val="7"/>
    </w:pPr>
    <w:rPr>
      <w:i/>
      <w:sz w:val="20"/>
    </w:rPr>
  </w:style>
  <w:style w:type="paragraph" w:styleId="Heading9">
    <w:name w:val="heading 9"/>
    <w:basedOn w:val="Normal"/>
    <w:next w:val="Normal"/>
    <w:uiPriority w:val="16"/>
    <w:semiHidden/>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DefaultParagraphFont"/>
    <w:uiPriority w:val="15"/>
    <w:qFormat/>
    <w:rPr>
      <w:b/>
    </w:rPr>
  </w:style>
  <w:style w:type="paragraph" w:styleId="Footer">
    <w:name w:val="footer"/>
    <w:basedOn w:val="Normal"/>
    <w:link w:val="FooterChar"/>
    <w:uiPriority w:val="13"/>
    <w:unhideWhenUsed/>
    <w:pPr>
      <w:tabs>
        <w:tab w:val="center" w:pos="4536"/>
        <w:tab w:val="right" w:pos="9072"/>
      </w:tabs>
      <w:jc w:val="left"/>
    </w:pPr>
    <w:rPr>
      <w:sz w:val="16"/>
    </w:rPr>
  </w:style>
  <w:style w:type="character" w:styleId="FootnoteReference">
    <w:name w:val="footnote reference"/>
    <w:basedOn w:val="DefaultParagraphFont"/>
    <w:uiPriority w:val="17"/>
    <w:unhideWhenUsed/>
    <w:rPr>
      <w:vertAlign w:val="superscript"/>
    </w:rPr>
  </w:style>
  <w:style w:type="paragraph" w:styleId="FootnoteText">
    <w:name w:val="footnote text"/>
    <w:basedOn w:val="Normal"/>
    <w:uiPriority w:val="17"/>
    <w:unhideWhenUsed/>
    <w:pPr>
      <w:tabs>
        <w:tab w:val="left" w:pos="720"/>
      </w:tabs>
      <w:ind w:left="720" w:hanging="720"/>
    </w:pPr>
    <w:rPr>
      <w:sz w:val="16"/>
    </w:rPr>
  </w:style>
  <w:style w:type="paragraph" w:styleId="Header">
    <w:name w:val="header"/>
    <w:basedOn w:val="Normal"/>
    <w:link w:val="HeaderChar"/>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numPr>
        <w:ilvl w:val="2"/>
        <w:numId w:val="1"/>
      </w:numPr>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TOC1">
    <w:name w:val="toc 1"/>
    <w:basedOn w:val="Body"/>
    <w:uiPriority w:val="39"/>
    <w:semiHidden/>
    <w:rsid w:val="00CD1BF3"/>
    <w:pPr>
      <w:tabs>
        <w:tab w:val="left" w:pos="709"/>
        <w:tab w:val="right" w:pos="9072"/>
      </w:tabs>
      <w:spacing w:after="120"/>
      <w:ind w:left="709" w:right="425" w:hanging="709"/>
      <w:jc w:val="left"/>
    </w:pPr>
    <w:rPr>
      <w:b/>
      <w:smallCaps/>
    </w:rPr>
  </w:style>
  <w:style w:type="paragraph" w:styleId="TOC2">
    <w:name w:val="toc 2"/>
    <w:basedOn w:val="TOC1"/>
    <w:uiPriority w:val="39"/>
    <w:semiHidden/>
    <w:rsid w:val="00547D7B"/>
    <w:pPr>
      <w:tabs>
        <w:tab w:val="left" w:pos="1418"/>
      </w:tabs>
      <w:ind w:left="1418"/>
    </w:pPr>
    <w:rPr>
      <w:smallCaps w:val="0"/>
    </w:rPr>
  </w:style>
  <w:style w:type="paragraph" w:styleId="TOC3">
    <w:name w:val="toc 3"/>
    <w:basedOn w:val="TOC2"/>
    <w:uiPriority w:val="39"/>
    <w:semiHidden/>
    <w:rsid w:val="009B2F07"/>
    <w:pPr>
      <w:ind w:left="2127"/>
    </w:pPr>
  </w:style>
  <w:style w:type="paragraph" w:styleId="TOC4">
    <w:name w:val="toc 4"/>
    <w:basedOn w:val="Normal"/>
    <w:next w:val="Normal"/>
    <w:uiPriority w:val="39"/>
    <w:semiHidden/>
    <w:rsid w:val="008C77D5"/>
    <w:pPr>
      <w:numPr>
        <w:numId w:val="16"/>
      </w:numPr>
      <w:tabs>
        <w:tab w:val="left" w:pos="0"/>
        <w:tab w:val="left" w:pos="709"/>
        <w:tab w:val="right" w:pos="9072"/>
      </w:tabs>
      <w:spacing w:after="120"/>
      <w:ind w:left="709" w:hanging="709"/>
      <w:jc w:val="left"/>
    </w:pPr>
    <w:rPr>
      <w:b/>
      <w:smallCaps/>
    </w:rPr>
  </w:style>
  <w:style w:type="paragraph" w:styleId="BlockText">
    <w:name w:val="Block Text"/>
    <w:basedOn w:val="Normal"/>
    <w:uiPriority w:val="17"/>
    <w:semiHidden/>
    <w:pPr>
      <w:spacing w:after="120"/>
      <w:ind w:left="1440" w:right="1440"/>
    </w:pPr>
  </w:style>
  <w:style w:type="paragraph" w:styleId="BodyText">
    <w:name w:val="Body Text"/>
    <w:basedOn w:val="Normal"/>
    <w:uiPriority w:val="17"/>
    <w:semiHidden/>
    <w:pPr>
      <w:spacing w:after="120"/>
    </w:pPr>
  </w:style>
  <w:style w:type="character" w:customStyle="1" w:styleId="BoldItalicText">
    <w:name w:val="BoldItalicText"/>
    <w:basedOn w:val="DefaultParagraphFont"/>
    <w:uiPriority w:val="17"/>
    <w:semiHidden/>
    <w:rPr>
      <w:b/>
      <w:i/>
    </w:rPr>
  </w:style>
  <w:style w:type="character" w:customStyle="1" w:styleId="ItalicText">
    <w:name w:val="ItalicText"/>
    <w:basedOn w:val="DefaultParagraphFont"/>
    <w:uiPriority w:val="15"/>
    <w:qFormat/>
    <w:rPr>
      <w:i/>
    </w:rPr>
  </w:style>
  <w:style w:type="character" w:customStyle="1" w:styleId="BoldUnderlinedText">
    <w:name w:val="BoldUnderlinedText"/>
    <w:basedOn w:val="DefaultParagraphFont"/>
    <w:uiPriority w:val="17"/>
    <w:semiHidden/>
    <w:rPr>
      <w:b/>
      <w:u w:val="single"/>
    </w:rPr>
  </w:style>
  <w:style w:type="character" w:customStyle="1" w:styleId="UnderlinedText">
    <w:name w:val="UnderlinedText"/>
    <w:basedOn w:val="DefaultParagraphFont"/>
    <w:uiPriority w:val="15"/>
    <w:rPr>
      <w:u w:val="single"/>
    </w:rPr>
  </w:style>
  <w:style w:type="paragraph" w:styleId="BodyText2">
    <w:name w:val="Body Text 2"/>
    <w:basedOn w:val="Normal"/>
    <w:uiPriority w:val="17"/>
    <w:semiHidden/>
    <w:pPr>
      <w:spacing w:after="120" w:line="480" w:lineRule="auto"/>
    </w:pPr>
  </w:style>
  <w:style w:type="paragraph" w:styleId="BodyText3">
    <w:name w:val="Body Text 3"/>
    <w:basedOn w:val="Normal"/>
    <w:uiPriority w:val="17"/>
    <w:semiHidden/>
    <w:pPr>
      <w:spacing w:after="120"/>
    </w:pPr>
    <w:rPr>
      <w:sz w:val="16"/>
    </w:rPr>
  </w:style>
  <w:style w:type="paragraph" w:styleId="BodyTextFirstIndent">
    <w:name w:val="Body Text First Indent"/>
    <w:basedOn w:val="BodyText"/>
    <w:uiPriority w:val="17"/>
    <w:semiHidden/>
    <w:pPr>
      <w:ind w:firstLine="210"/>
    </w:pPr>
  </w:style>
  <w:style w:type="paragraph" w:styleId="BodyTextIndent">
    <w:name w:val="Body Text Indent"/>
    <w:basedOn w:val="Normal"/>
    <w:uiPriority w:val="17"/>
    <w:semiHidden/>
    <w:pPr>
      <w:spacing w:after="120"/>
      <w:ind w:left="283"/>
    </w:pPr>
  </w:style>
  <w:style w:type="paragraph" w:styleId="BodyTextFirstIndent2">
    <w:name w:val="Body Text First Indent 2"/>
    <w:basedOn w:val="BodyTextIndent"/>
    <w:uiPriority w:val="17"/>
    <w:semiHidden/>
    <w:pPr>
      <w:ind w:firstLine="210"/>
    </w:pPr>
  </w:style>
  <w:style w:type="paragraph" w:styleId="BodyTextIndent2">
    <w:name w:val="Body Text Indent 2"/>
    <w:basedOn w:val="Normal"/>
    <w:uiPriority w:val="17"/>
    <w:semiHidden/>
    <w:pPr>
      <w:spacing w:after="120" w:line="480" w:lineRule="auto"/>
      <w:ind w:left="283"/>
    </w:pPr>
  </w:style>
  <w:style w:type="paragraph" w:styleId="BodyTextIndent3">
    <w:name w:val="Body Text Indent 3"/>
    <w:basedOn w:val="Normal"/>
    <w:uiPriority w:val="17"/>
    <w:semiHidden/>
    <w:pPr>
      <w:spacing w:after="120"/>
      <w:ind w:left="283"/>
    </w:pPr>
    <w:rPr>
      <w:sz w:val="16"/>
    </w:rPr>
  </w:style>
  <w:style w:type="paragraph" w:styleId="Caption">
    <w:name w:val="caption"/>
    <w:basedOn w:val="Normal"/>
    <w:next w:val="Normal"/>
    <w:uiPriority w:val="17"/>
    <w:unhideWhenUsed/>
    <w:pPr>
      <w:spacing w:before="120" w:after="120"/>
    </w:pPr>
    <w:rPr>
      <w:b/>
    </w:rPr>
  </w:style>
  <w:style w:type="paragraph" w:styleId="Closing">
    <w:name w:val="Closing"/>
    <w:basedOn w:val="Normal"/>
    <w:uiPriority w:val="17"/>
    <w:semiHidden/>
    <w:pPr>
      <w:ind w:left="4252"/>
    </w:pPr>
  </w:style>
  <w:style w:type="character" w:styleId="CommentReference">
    <w:name w:val="annotation reference"/>
    <w:basedOn w:val="DefaultParagraphFont"/>
    <w:uiPriority w:val="17"/>
    <w:semiHidden/>
    <w:rPr>
      <w:sz w:val="16"/>
    </w:rPr>
  </w:style>
  <w:style w:type="paragraph" w:styleId="CommentText">
    <w:name w:val="annotation text"/>
    <w:basedOn w:val="Normal"/>
    <w:link w:val="CommentTextChar"/>
    <w:uiPriority w:val="17"/>
    <w:semiHidden/>
    <w:rPr>
      <w:sz w:val="20"/>
    </w:rPr>
  </w:style>
  <w:style w:type="paragraph" w:styleId="Date">
    <w:name w:val="Date"/>
    <w:basedOn w:val="Normal"/>
    <w:next w:val="Normal"/>
    <w:uiPriority w:val="17"/>
    <w:semiHidden/>
  </w:style>
  <w:style w:type="paragraph" w:styleId="DocumentMap">
    <w:name w:val="Document Map"/>
    <w:basedOn w:val="Normal"/>
    <w:uiPriority w:val="17"/>
    <w:semiHidden/>
    <w:pPr>
      <w:shd w:val="clear" w:color="auto" w:fill="000080"/>
    </w:pPr>
    <w:rPr>
      <w:rFonts w:ascii="Tahoma" w:hAnsi="Tahoma"/>
    </w:rPr>
  </w:style>
  <w:style w:type="character" w:styleId="Emphasis">
    <w:name w:val="Emphasis"/>
    <w:basedOn w:val="DefaultParagraphFont"/>
    <w:uiPriority w:val="29"/>
    <w:semiHidden/>
    <w:rsid w:val="00E45680"/>
    <w:rPr>
      <w:b/>
      <w:i w:val="0"/>
    </w:rPr>
  </w:style>
  <w:style w:type="character" w:styleId="EndnoteReference">
    <w:name w:val="endnote reference"/>
    <w:basedOn w:val="DefaultParagraphFont"/>
    <w:uiPriority w:val="17"/>
    <w:semiHidden/>
    <w:rPr>
      <w:vertAlign w:val="superscript"/>
    </w:rPr>
  </w:style>
  <w:style w:type="paragraph" w:styleId="EndnoteText">
    <w:name w:val="endnote text"/>
    <w:basedOn w:val="Normal"/>
    <w:uiPriority w:val="17"/>
    <w:semiHidden/>
    <w:rPr>
      <w:sz w:val="20"/>
    </w:rPr>
  </w:style>
  <w:style w:type="paragraph" w:styleId="EnvelopeAddress">
    <w:name w:val="envelope address"/>
    <w:basedOn w:val="Normal"/>
    <w:uiPriority w:val="17"/>
    <w:semiHidden/>
    <w:pPr>
      <w:framePr w:w="7920" w:h="1980" w:hRule="exact" w:hSpace="180" w:wrap="auto" w:hAnchor="page" w:xAlign="center" w:yAlign="bottom"/>
      <w:ind w:left="2880"/>
    </w:pPr>
    <w:rPr>
      <w:sz w:val="24"/>
    </w:rPr>
  </w:style>
  <w:style w:type="paragraph" w:styleId="EnvelopeReturn">
    <w:name w:val="envelope return"/>
    <w:basedOn w:val="Normal"/>
    <w:uiPriority w:val="17"/>
    <w:semiHidden/>
    <w:rPr>
      <w:sz w:val="20"/>
    </w:rPr>
  </w:style>
  <w:style w:type="character" w:styleId="FollowedHyperlink">
    <w:name w:val="FollowedHyperlink"/>
    <w:basedOn w:val="DefaultParagraphFont"/>
    <w:uiPriority w:val="17"/>
    <w:unhideWhenUsed/>
    <w:rPr>
      <w:color w:val="800080"/>
      <w:u w:val="single"/>
    </w:rPr>
  </w:style>
  <w:style w:type="character" w:styleId="Hyperlink">
    <w:name w:val="Hyperlink"/>
    <w:basedOn w:val="DefaultParagraphFont"/>
    <w:uiPriority w:val="16"/>
    <w:rPr>
      <w:color w:val="0000FF"/>
      <w:u w:val="single"/>
    </w:rPr>
  </w:style>
  <w:style w:type="paragraph" w:styleId="Index1">
    <w:name w:val="index 1"/>
    <w:basedOn w:val="Normal"/>
    <w:next w:val="Normal"/>
    <w:autoRedefine/>
    <w:uiPriority w:val="17"/>
    <w:semiHidden/>
    <w:pPr>
      <w:ind w:left="210" w:hanging="210"/>
    </w:pPr>
  </w:style>
  <w:style w:type="paragraph" w:styleId="Index2">
    <w:name w:val="index 2"/>
    <w:basedOn w:val="Normal"/>
    <w:next w:val="Normal"/>
    <w:autoRedefine/>
    <w:uiPriority w:val="17"/>
    <w:semiHidden/>
    <w:pPr>
      <w:ind w:left="420" w:hanging="210"/>
    </w:pPr>
  </w:style>
  <w:style w:type="paragraph" w:styleId="Index3">
    <w:name w:val="index 3"/>
    <w:basedOn w:val="Normal"/>
    <w:next w:val="Normal"/>
    <w:autoRedefine/>
    <w:uiPriority w:val="17"/>
    <w:semiHidden/>
    <w:pPr>
      <w:ind w:left="630" w:hanging="210"/>
    </w:pPr>
  </w:style>
  <w:style w:type="paragraph" w:styleId="Index4">
    <w:name w:val="index 4"/>
    <w:basedOn w:val="Normal"/>
    <w:next w:val="Normal"/>
    <w:autoRedefine/>
    <w:uiPriority w:val="17"/>
    <w:semiHidden/>
    <w:pPr>
      <w:ind w:left="840" w:hanging="210"/>
    </w:pPr>
  </w:style>
  <w:style w:type="paragraph" w:styleId="Index5">
    <w:name w:val="index 5"/>
    <w:basedOn w:val="Normal"/>
    <w:next w:val="Normal"/>
    <w:autoRedefine/>
    <w:uiPriority w:val="17"/>
    <w:semiHidden/>
    <w:pPr>
      <w:ind w:left="1050" w:hanging="210"/>
    </w:pPr>
  </w:style>
  <w:style w:type="paragraph" w:styleId="Index6">
    <w:name w:val="index 6"/>
    <w:basedOn w:val="Normal"/>
    <w:next w:val="Normal"/>
    <w:autoRedefine/>
    <w:uiPriority w:val="17"/>
    <w:semiHidden/>
    <w:pPr>
      <w:ind w:left="1260" w:hanging="210"/>
    </w:pPr>
  </w:style>
  <w:style w:type="paragraph" w:styleId="Index7">
    <w:name w:val="index 7"/>
    <w:basedOn w:val="Normal"/>
    <w:next w:val="Normal"/>
    <w:autoRedefine/>
    <w:uiPriority w:val="17"/>
    <w:semiHidden/>
    <w:pPr>
      <w:ind w:left="1470" w:hanging="210"/>
    </w:pPr>
  </w:style>
  <w:style w:type="paragraph" w:styleId="Index8">
    <w:name w:val="index 8"/>
    <w:basedOn w:val="Normal"/>
    <w:next w:val="Normal"/>
    <w:autoRedefine/>
    <w:uiPriority w:val="17"/>
    <w:semiHidden/>
    <w:pPr>
      <w:ind w:left="1680" w:hanging="210"/>
    </w:pPr>
  </w:style>
  <w:style w:type="paragraph" w:styleId="Index9">
    <w:name w:val="index 9"/>
    <w:basedOn w:val="Normal"/>
    <w:next w:val="Normal"/>
    <w:autoRedefine/>
    <w:uiPriority w:val="17"/>
    <w:semiHidden/>
    <w:pPr>
      <w:ind w:left="1890" w:hanging="210"/>
    </w:pPr>
  </w:style>
  <w:style w:type="paragraph" w:styleId="IndexHeading">
    <w:name w:val="index heading"/>
    <w:basedOn w:val="Normal"/>
    <w:next w:val="Index1"/>
    <w:uiPriority w:val="17"/>
    <w:semiHidden/>
    <w:rPr>
      <w:b/>
    </w:rPr>
  </w:style>
  <w:style w:type="character" w:styleId="LineNumber">
    <w:name w:val="line number"/>
    <w:basedOn w:val="DefaultParagraphFont"/>
    <w:uiPriority w:val="17"/>
    <w:semiHidden/>
  </w:style>
  <w:style w:type="paragraph" w:styleId="MacroText">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MessageHeader">
    <w:name w:val="Message Header"/>
    <w:basedOn w:val="Normal"/>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uiPriority w:val="29"/>
    <w:pPr>
      <w:ind w:left="720"/>
    </w:pPr>
  </w:style>
  <w:style w:type="paragraph" w:styleId="NoteHeading">
    <w:name w:val="Note Heading"/>
    <w:basedOn w:val="Normal"/>
    <w:next w:val="Normal"/>
    <w:uiPriority w:val="17"/>
    <w:semiHidden/>
  </w:style>
  <w:style w:type="character" w:styleId="PageNumber">
    <w:name w:val="page number"/>
    <w:basedOn w:val="DefaultParagraphFont"/>
    <w:uiPriority w:val="17"/>
    <w:semiHidden/>
  </w:style>
  <w:style w:type="paragraph" w:styleId="PlainText">
    <w:name w:val="Plain Text"/>
    <w:basedOn w:val="Normal"/>
    <w:uiPriority w:val="17"/>
    <w:semiHidden/>
    <w:rPr>
      <w:rFonts w:ascii="Courier New" w:hAnsi="Courier New"/>
      <w:sz w:val="20"/>
    </w:rPr>
  </w:style>
  <w:style w:type="paragraph" w:styleId="Salutation">
    <w:name w:val="Salutation"/>
    <w:basedOn w:val="Normal"/>
    <w:next w:val="Normal"/>
    <w:uiPriority w:val="17"/>
    <w:semiHidden/>
  </w:style>
  <w:style w:type="paragraph" w:styleId="Signature">
    <w:name w:val="Signature"/>
    <w:basedOn w:val="Normal"/>
    <w:uiPriority w:val="17"/>
    <w:semiHidden/>
    <w:pPr>
      <w:ind w:left="4252"/>
    </w:pPr>
  </w:style>
  <w:style w:type="paragraph" w:customStyle="1" w:styleId="CentredSubheading">
    <w:name w:val="Centred Subheading"/>
    <w:basedOn w:val="Centred"/>
    <w:next w:val="Body1"/>
    <w:uiPriority w:val="13"/>
    <w:qFormat/>
    <w:rsid w:val="006E1EA1"/>
    <w:rPr>
      <w:b/>
    </w:rPr>
  </w:style>
  <w:style w:type="paragraph" w:styleId="TableofAuthorities">
    <w:name w:val="table of authorities"/>
    <w:basedOn w:val="Normal"/>
    <w:next w:val="Normal"/>
    <w:uiPriority w:val="17"/>
    <w:semiHidden/>
    <w:pPr>
      <w:ind w:left="210" w:hanging="210"/>
    </w:pPr>
  </w:style>
  <w:style w:type="paragraph" w:styleId="TableofFigures">
    <w:name w:val="table of figures"/>
    <w:basedOn w:val="Normal"/>
    <w:next w:val="Normal"/>
    <w:uiPriority w:val="17"/>
    <w:semiHidden/>
    <w:pPr>
      <w:ind w:left="420" w:hanging="420"/>
    </w:pPr>
  </w:style>
  <w:style w:type="paragraph" w:styleId="TOAHeading">
    <w:name w:val="toa heading"/>
    <w:basedOn w:val="Normal"/>
    <w:next w:val="Normal"/>
    <w:uiPriority w:val="49"/>
    <w:semiHidden/>
    <w:pPr>
      <w:spacing w:before="120"/>
    </w:pPr>
    <w:rPr>
      <w:b/>
      <w:sz w:val="24"/>
    </w:rPr>
  </w:style>
  <w:style w:type="paragraph" w:styleId="TOC5">
    <w:name w:val="toc 5"/>
    <w:basedOn w:val="Body1"/>
    <w:next w:val="Body1"/>
    <w:uiPriority w:val="49"/>
    <w:semiHidden/>
    <w:rsid w:val="00436B0E"/>
    <w:pPr>
      <w:spacing w:after="120"/>
      <w:ind w:left="709"/>
      <w:contextualSpacing/>
      <w:jc w:val="left"/>
    </w:pPr>
    <w:rPr>
      <w:b/>
    </w:rPr>
  </w:style>
  <w:style w:type="paragraph" w:styleId="TOC6">
    <w:name w:val="toc 6"/>
    <w:basedOn w:val="Normal"/>
    <w:next w:val="Normal"/>
    <w:uiPriority w:val="49"/>
    <w:semiHidden/>
    <w:pPr>
      <w:ind w:left="1050"/>
    </w:pPr>
  </w:style>
  <w:style w:type="paragraph" w:styleId="TOC7">
    <w:name w:val="toc 7"/>
    <w:basedOn w:val="Normal"/>
    <w:next w:val="Normal"/>
    <w:uiPriority w:val="49"/>
    <w:semiHidden/>
    <w:pPr>
      <w:ind w:left="1260"/>
    </w:pPr>
  </w:style>
  <w:style w:type="paragraph" w:styleId="TOC8">
    <w:name w:val="toc 8"/>
    <w:basedOn w:val="Normal"/>
    <w:next w:val="Normal"/>
    <w:uiPriority w:val="49"/>
    <w:semiHidden/>
    <w:pPr>
      <w:ind w:left="1470"/>
    </w:pPr>
  </w:style>
  <w:style w:type="paragraph" w:styleId="TOC9">
    <w:name w:val="toc 9"/>
    <w:basedOn w:val="Normal"/>
    <w:next w:val="Normal"/>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TOCHeading">
    <w:name w:val="TOC Heading"/>
    <w:basedOn w:val="Heading1"/>
    <w:next w:val="Normal"/>
    <w:uiPriority w:val="49"/>
    <w:semiHidden/>
    <w:rsid w:val="00AE6229"/>
    <w:pPr>
      <w:keepLines/>
      <w:tabs>
        <w:tab w:val="right" w:pos="9072"/>
      </w:tabs>
      <w:spacing w:after="240"/>
      <w:jc w:val="center"/>
      <w:outlineLvl w:val="9"/>
    </w:pPr>
    <w:rPr>
      <w:rFonts w:eastAsiaTheme="majorEastAsia" w:cstheme="majorBidi"/>
      <w:bCs/>
      <w:szCs w:val="28"/>
    </w:rPr>
  </w:style>
  <w:style w:type="character" w:customStyle="1" w:styleId="CommentTextChar">
    <w:name w:val="Comment Text Char"/>
    <w:basedOn w:val="DefaultParagraphFont"/>
    <w:link w:val="CommentText"/>
    <w:uiPriority w:val="17"/>
    <w:semiHidden/>
    <w:rsid w:val="00ED08A9"/>
    <w:rPr>
      <w:sz w:val="20"/>
    </w:rPr>
  </w:style>
  <w:style w:type="paragraph" w:customStyle="1" w:styleId="Address">
    <w:name w:val="Address"/>
    <w:basedOn w:val="Normal"/>
    <w:uiPriority w:val="17"/>
    <w:rsid w:val="00671861"/>
    <w:pPr>
      <w:jc w:val="center"/>
    </w:pPr>
    <w:rPr>
      <w:sz w:val="16"/>
      <w:szCs w:val="16"/>
      <w:lang w:eastAsia="en-US"/>
    </w:rPr>
  </w:style>
  <w:style w:type="paragraph" w:customStyle="1" w:styleId="NormalCentred">
    <w:name w:val="Normal Centred"/>
    <w:basedOn w:val="Normal"/>
    <w:uiPriority w:val="9"/>
    <w:rsid w:val="00671861"/>
    <w:pPr>
      <w:jc w:val="center"/>
    </w:pPr>
    <w:rPr>
      <w:szCs w:val="24"/>
      <w:lang w:eastAsia="en-US"/>
    </w:rPr>
  </w:style>
  <w:style w:type="character" w:customStyle="1" w:styleId="SmallCaps">
    <w:name w:val="SmallCaps"/>
    <w:basedOn w:val="DefaultParagraphFont"/>
    <w:uiPriority w:val="17"/>
    <w:semiHidden/>
    <w:rsid w:val="00671861"/>
    <w:rPr>
      <w:rFonts w:ascii="Arial" w:hAnsi="Arial"/>
      <w:smallCaps/>
      <w:sz w:val="21"/>
    </w:rPr>
  </w:style>
  <w:style w:type="paragraph" w:styleId="BalloonText">
    <w:name w:val="Balloon Text"/>
    <w:basedOn w:val="Normal"/>
    <w:link w:val="BalloonTextChar"/>
    <w:uiPriority w:val="17"/>
    <w:unhideWhenUsed/>
    <w:rsid w:val="006718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7"/>
    <w:rsid w:val="00ED08A9"/>
    <w:rPr>
      <w:rFonts w:ascii="Tahoma" w:hAnsi="Tahoma" w:cs="Tahoma"/>
      <w:sz w:val="16"/>
      <w:szCs w:val="16"/>
    </w:rPr>
  </w:style>
  <w:style w:type="character" w:customStyle="1" w:styleId="FooterChar">
    <w:name w:val="Footer Char"/>
    <w:basedOn w:val="DefaultParagraphFont"/>
    <w:link w:val="Footer"/>
    <w:uiPriority w:val="13"/>
    <w:rsid w:val="00ED08A9"/>
    <w:rPr>
      <w:sz w:val="16"/>
    </w:rPr>
  </w:style>
  <w:style w:type="character" w:customStyle="1" w:styleId="HeaderChar">
    <w:name w:val="Header Char"/>
    <w:basedOn w:val="DefaultParagraphFont"/>
    <w:link w:val="Header"/>
    <w:uiPriority w:val="13"/>
    <w:rsid w:val="00ED08A9"/>
  </w:style>
  <w:style w:type="character" w:styleId="PlaceholderText">
    <w:name w:val="Placeholder Text"/>
    <w:basedOn w:val="DefaultParagraphFont"/>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NormalWeb">
    <w:name w:val="Normal (Web)"/>
    <w:basedOn w:val="Normal"/>
    <w:uiPriority w:val="29"/>
    <w:rsid w:val="00F95754"/>
    <w:rPr>
      <w:szCs w:val="24"/>
    </w:rPr>
  </w:style>
  <w:style w:type="paragraph" w:styleId="Subtitle">
    <w:name w:val="Subtitle"/>
    <w:basedOn w:val="Body"/>
    <w:next w:val="Body1"/>
    <w:link w:val="SubtitleChar"/>
    <w:uiPriority w:val="18"/>
    <w:rsid w:val="00615756"/>
    <w:pPr>
      <w:numPr>
        <w:ilvl w:val="1"/>
      </w:numPr>
    </w:pPr>
    <w:rPr>
      <w:rFonts w:ascii="Arial Bold" w:eastAsiaTheme="majorEastAsia" w:hAnsi="Arial Bold" w:cstheme="majorBidi"/>
      <w:b/>
      <w:iCs/>
      <w:spacing w:val="15"/>
      <w:szCs w:val="24"/>
    </w:rPr>
  </w:style>
  <w:style w:type="character" w:customStyle="1" w:styleId="SubtitleChar">
    <w:name w:val="Subtitle Char"/>
    <w:basedOn w:val="DefaultParagraphFont"/>
    <w:link w:val="Subtitle"/>
    <w:uiPriority w:val="18"/>
    <w:rsid w:val="00ED08A9"/>
    <w:rPr>
      <w:rFonts w:ascii="Arial Bold" w:eastAsiaTheme="majorEastAsia" w:hAnsi="Arial Bold" w:cstheme="majorBidi"/>
      <w:b/>
      <w:iCs/>
      <w:spacing w:val="15"/>
      <w:szCs w:val="24"/>
    </w:rPr>
  </w:style>
  <w:style w:type="character" w:styleId="BookTitle">
    <w:name w:val="Book Title"/>
    <w:basedOn w:val="DefaultParagraphFont"/>
    <w:uiPriority w:val="43"/>
    <w:semiHidden/>
    <w:rsid w:val="00D25E01"/>
    <w:rPr>
      <w:b/>
      <w:bCs/>
      <w:smallCaps/>
      <w:spacing w:val="5"/>
    </w:rPr>
  </w:style>
  <w:style w:type="paragraph" w:styleId="Quote">
    <w:name w:val="Quote"/>
    <w:basedOn w:val="Normal"/>
    <w:next w:val="Normal"/>
    <w:link w:val="QuoteChar"/>
    <w:uiPriority w:val="39"/>
    <w:semiHidden/>
    <w:rsid w:val="00D25E01"/>
    <w:rPr>
      <w:i/>
      <w:iCs/>
      <w:color w:val="4D5357" w:themeColor="text1"/>
    </w:rPr>
  </w:style>
  <w:style w:type="character" w:customStyle="1" w:styleId="QuoteChar">
    <w:name w:val="Quote Char"/>
    <w:basedOn w:val="DefaultParagraphFont"/>
    <w:link w:val="Quote"/>
    <w:uiPriority w:val="39"/>
    <w:semiHidden/>
    <w:rsid w:val="00ED08A9"/>
    <w:rPr>
      <w:i/>
      <w:iCs/>
      <w:color w:val="4D5357" w:themeColor="text1"/>
    </w:rPr>
  </w:style>
  <w:style w:type="paragraph" w:styleId="ListParagraph">
    <w:name w:val="List Paragraph"/>
    <w:basedOn w:val="Normal"/>
    <w:uiPriority w:val="44"/>
    <w:rsid w:val="00D25E01"/>
    <w:pPr>
      <w:ind w:left="720"/>
      <w:contextualSpacing/>
    </w:pPr>
  </w:style>
  <w:style w:type="paragraph" w:styleId="Title">
    <w:name w:val="Title"/>
    <w:basedOn w:val="Body"/>
    <w:next w:val="Body1"/>
    <w:link w:val="TitleChar"/>
    <w:uiPriority w:val="18"/>
    <w:rsid w:val="00615756"/>
    <w:rPr>
      <w:rFonts w:eastAsiaTheme="majorEastAsia" w:cstheme="majorBidi"/>
      <w:b/>
      <w:smallCaps/>
      <w:spacing w:val="5"/>
      <w:kern w:val="28"/>
      <w:szCs w:val="52"/>
    </w:rPr>
  </w:style>
  <w:style w:type="character" w:customStyle="1" w:styleId="TitleChar">
    <w:name w:val="Title Char"/>
    <w:basedOn w:val="DefaultParagraphFont"/>
    <w:link w:val="Title"/>
    <w:uiPriority w:val="18"/>
    <w:rsid w:val="00ED08A9"/>
    <w:rPr>
      <w:rFonts w:eastAsiaTheme="majorEastAsia" w:cstheme="majorBidi"/>
      <w:b/>
      <w:smallCaps/>
      <w:spacing w:val="5"/>
      <w:kern w:val="28"/>
      <w:szCs w:val="52"/>
    </w:rPr>
  </w:style>
  <w:style w:type="paragraph" w:styleId="NoSpacing">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665A5B"/>
    <w:pPr>
      <w:keepNext/>
    </w:pPr>
    <w:rPr>
      <w:b/>
      <w:smallCaps/>
    </w:rPr>
  </w:style>
  <w:style w:type="paragraph" w:customStyle="1" w:styleId="SchHeading2">
    <w:name w:val="Sch Heading 2"/>
    <w:basedOn w:val="SchNumber2"/>
    <w:next w:val="Body2"/>
    <w:link w:val="SchHeading2Char"/>
    <w:uiPriority w:val="12"/>
    <w:qFormat/>
    <w:rsid w:val="00665A5B"/>
    <w:pPr>
      <w:keepNext/>
    </w:pPr>
    <w:rPr>
      <w:b/>
    </w:rPr>
  </w:style>
  <w:style w:type="paragraph" w:customStyle="1" w:styleId="Heading1Restart">
    <w:name w:val="Heading 1 Restart"/>
    <w:basedOn w:val="Heading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Heading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rsid w:val="000D77B5"/>
    <w:pPr>
      <w:numPr>
        <w:ilvl w:val="0"/>
        <w:numId w:val="0"/>
      </w:numPr>
      <w:ind w:left="1418" w:hanging="709"/>
    </w:pPr>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DefaultParagraphFont"/>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uiPriority w:val="6"/>
    <w:rsid w:val="00ED08A9"/>
  </w:style>
  <w:style w:type="character" w:customStyle="1" w:styleId="Heading2Char">
    <w:name w:val="Heading 2 Char"/>
    <w:basedOn w:val="Level2Char"/>
    <w:link w:val="Heading2"/>
    <w:uiPriority w:val="4"/>
    <w:rsid w:val="00ED08A9"/>
    <w:rPr>
      <w:b/>
    </w:rPr>
  </w:style>
  <w:style w:type="character" w:customStyle="1" w:styleId="Heading2RestartChar">
    <w:name w:val="Heading 2 Restart Char"/>
    <w:basedOn w:val="Heading2Char"/>
    <w:link w:val="Heading2Restart"/>
    <w:uiPriority w:val="13"/>
    <w:semiHidden/>
    <w:rsid w:val="00ED08A9"/>
    <w:rPr>
      <w:rFonts w:eastAsia="Arial Unicode MS"/>
      <w:b/>
    </w:rPr>
  </w:style>
  <w:style w:type="numbering" w:customStyle="1" w:styleId="SchCustomList">
    <w:name w:val="Sch Custom List"/>
    <w:basedOn w:val="NoList"/>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uiPriority w:val="6"/>
    <w:rsid w:val="00ED08A9"/>
  </w:style>
  <w:style w:type="character" w:customStyle="1" w:styleId="Heading1Char">
    <w:name w:val="Heading 1 Char"/>
    <w:basedOn w:val="Level1Char"/>
    <w:link w:val="Heading1"/>
    <w:uiPriority w:val="4"/>
    <w:rsid w:val="00ED08A9"/>
    <w:rPr>
      <w:b/>
      <w:smallCaps/>
    </w:rPr>
  </w:style>
  <w:style w:type="character" w:customStyle="1" w:styleId="Level3Char">
    <w:name w:val="Level 3 Char"/>
    <w:basedOn w:val="Body3Char"/>
    <w:link w:val="Level3"/>
    <w:uiPriority w:val="6"/>
    <w:rsid w:val="00ED08A9"/>
  </w:style>
  <w:style w:type="character" w:customStyle="1" w:styleId="Heading3Char">
    <w:name w:val="Heading 3 Char"/>
    <w:basedOn w:val="Level3Char"/>
    <w:link w:val="Heading3"/>
    <w:uiPriority w:val="4"/>
    <w:rsid w:val="00ED08A9"/>
    <w:rPr>
      <w:b/>
    </w:rPr>
  </w:style>
  <w:style w:type="character" w:customStyle="1" w:styleId="Level4Char">
    <w:name w:val="Level 4 Char"/>
    <w:basedOn w:val="Body4Char"/>
    <w:link w:val="Level4"/>
    <w:uiPriority w:val="6"/>
    <w:rsid w:val="00ED08A9"/>
  </w:style>
  <w:style w:type="character" w:customStyle="1" w:styleId="Heading4Char">
    <w:name w:val="Heading 4 Char"/>
    <w:basedOn w:val="Level4Char"/>
    <w:link w:val="Heading4"/>
    <w:uiPriority w:val="5"/>
    <w:semiHidden/>
    <w:rsid w:val="00ED08A9"/>
    <w:rPr>
      <w:rFonts w:ascii="Arial Bold" w:hAnsi="Arial Bold"/>
      <w:b/>
    </w:rPr>
  </w:style>
  <w:style w:type="character" w:customStyle="1" w:styleId="Heading5Char">
    <w:name w:val="Heading 5 Char"/>
    <w:basedOn w:val="DefaultParagraphFont"/>
    <w:link w:val="Heading5"/>
    <w:uiPriority w:val="5"/>
    <w:semiHidden/>
    <w:rsid w:val="00ED08A9"/>
    <w:rPr>
      <w:sz w:val="22"/>
    </w:rPr>
  </w:style>
  <w:style w:type="character" w:customStyle="1" w:styleId="Level5Char">
    <w:name w:val="Level 5 Char"/>
    <w:basedOn w:val="Body5Char"/>
    <w:link w:val="Level5"/>
    <w:uiPriority w:val="6"/>
    <w:rsid w:val="00ED08A9"/>
  </w:style>
  <w:style w:type="character" w:customStyle="1" w:styleId="SchNumber1Char">
    <w:name w:val="Sch Number 1 Char"/>
    <w:basedOn w:val="Level1Char"/>
    <w:link w:val="SchNumber1"/>
    <w:uiPriority w:val="12"/>
    <w:rsid w:val="00ED08A9"/>
    <w:rPr>
      <w:rFonts w:eastAsia="Arial Unicode MS"/>
    </w:rPr>
  </w:style>
  <w:style w:type="character" w:customStyle="1" w:styleId="SchHeading1Char">
    <w:name w:val="Sch Heading 1 Char"/>
    <w:basedOn w:val="SchNumber1Char"/>
    <w:link w:val="SchHeading1"/>
    <w:uiPriority w:val="12"/>
    <w:rsid w:val="00665A5B"/>
    <w:rPr>
      <w:rFonts w:eastAsia="Arial Unicode MS"/>
      <w:b/>
      <w:smallCaps/>
    </w:rPr>
  </w:style>
  <w:style w:type="character" w:customStyle="1" w:styleId="SchNumber2Char">
    <w:name w:val="Sch Number 2 Char"/>
    <w:basedOn w:val="Level2Char"/>
    <w:link w:val="SchNumber2"/>
    <w:uiPriority w:val="12"/>
    <w:rsid w:val="00ED08A9"/>
    <w:rPr>
      <w:rFonts w:eastAsia="Arial Unicode MS"/>
    </w:rPr>
  </w:style>
  <w:style w:type="character" w:customStyle="1" w:styleId="SchHeading2Char">
    <w:name w:val="Sch Heading 2 Char"/>
    <w:basedOn w:val="SchNumber2Char"/>
    <w:link w:val="SchHeading2"/>
    <w:uiPriority w:val="12"/>
    <w:rsid w:val="00665A5B"/>
    <w:rPr>
      <w:rFonts w:eastAsia="Arial Unicode MS"/>
      <w:b/>
    </w:rPr>
  </w:style>
  <w:style w:type="character" w:customStyle="1" w:styleId="SchNumber3Char">
    <w:name w:val="Sch Number 3 Char"/>
    <w:basedOn w:val="Level3Char"/>
    <w:link w:val="SchNumber3"/>
    <w:uiPriority w:val="12"/>
    <w:rsid w:val="00ED08A9"/>
    <w:rPr>
      <w:rFonts w:eastAsia="Arial Unicode MS"/>
    </w:rPr>
  </w:style>
  <w:style w:type="character" w:customStyle="1" w:styleId="SchNumber4Char">
    <w:name w:val="Sch Number 4 Char"/>
    <w:basedOn w:val="Level4Char"/>
    <w:link w:val="SchNumber4"/>
    <w:uiPriority w:val="12"/>
    <w:rsid w:val="00ED08A9"/>
    <w:rPr>
      <w:rFonts w:eastAsia="Arial Unicode MS"/>
    </w:rPr>
  </w:style>
  <w:style w:type="character" w:customStyle="1" w:styleId="SchNumber5Char">
    <w:name w:val="Sch Number 5 Char"/>
    <w:basedOn w:val="Level5Char"/>
    <w:link w:val="SchNumber5"/>
    <w:uiPriority w:val="12"/>
    <w:rsid w:val="00ED08A9"/>
    <w:rPr>
      <w:rFonts w:eastAsia="Arial Unicode MS"/>
    </w:rPr>
  </w:style>
  <w:style w:type="paragraph" w:customStyle="1" w:styleId="SchHeading3">
    <w:name w:val="Sch Heading 3"/>
    <w:basedOn w:val="SchNumber3"/>
    <w:next w:val="Body3"/>
    <w:link w:val="SchHeading3Char"/>
    <w:uiPriority w:val="12"/>
    <w:qFormat/>
    <w:rsid w:val="00665A5B"/>
    <w:pPr>
      <w:keepNext/>
    </w:pPr>
    <w:rPr>
      <w:b/>
    </w:rPr>
  </w:style>
  <w:style w:type="character" w:customStyle="1" w:styleId="SchHeading3Char">
    <w:name w:val="Sch Heading 3 Char"/>
    <w:basedOn w:val="SchNumber3Char"/>
    <w:link w:val="SchHeading3"/>
    <w:uiPriority w:val="12"/>
    <w:rsid w:val="00665A5B"/>
    <w:rPr>
      <w:rFonts w:eastAsia="Arial Unicode MS"/>
      <w:b/>
    </w:rPr>
  </w:style>
  <w:style w:type="paragraph" w:customStyle="1" w:styleId="Parts">
    <w:name w:val="Parts"/>
    <w:basedOn w:val="Body1"/>
    <w:next w:val="Body1"/>
    <w:uiPriority w:val="12"/>
    <w:qFormat/>
    <w:rsid w:val="00665A5B"/>
    <w:pPr>
      <w:keepNext/>
      <w:jc w:val="center"/>
    </w:pPr>
    <w:rPr>
      <w:b/>
    </w:rPr>
  </w:style>
  <w:style w:type="paragraph" w:styleId="List4">
    <w:name w:val="List 4"/>
    <w:basedOn w:val="Normal"/>
    <w:uiPriority w:val="29"/>
    <w:rsid w:val="00F95754"/>
    <w:pPr>
      <w:ind w:left="1132" w:hanging="283"/>
      <w:contextualSpacing/>
    </w:pPr>
  </w:style>
  <w:style w:type="paragraph" w:customStyle="1" w:styleId="Address2">
    <w:name w:val="Address 2"/>
    <w:basedOn w:val="Normal"/>
    <w:uiPriority w:val="17"/>
    <w:rsid w:val="00D67411"/>
    <w:rPr>
      <w:rFonts w:eastAsia="Times New Roman"/>
      <w:sz w:val="14"/>
    </w:rPr>
  </w:style>
  <w:style w:type="paragraph" w:customStyle="1" w:styleId="address3">
    <w:name w:val="address 3"/>
    <w:basedOn w:val="Address2"/>
    <w:uiPriority w:val="17"/>
    <w:rsid w:val="00D67411"/>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AD2466"/>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AD2466"/>
    <w:rPr>
      <w:rFonts w:eastAsia="Arial Unicode MS"/>
      <w:b/>
      <w:smallCaps/>
    </w:rPr>
  </w:style>
  <w:style w:type="paragraph" w:customStyle="1" w:styleId="SchHeading2Restart">
    <w:name w:val="Sch Heading 2 Restart"/>
    <w:basedOn w:val="SchHeading2"/>
    <w:next w:val="Body2"/>
    <w:link w:val="SchHeading2RestartChar"/>
    <w:uiPriority w:val="13"/>
    <w:semiHidden/>
    <w:rsid w:val="00AD2466"/>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AD2466"/>
    <w:rPr>
      <w:rFonts w:eastAsia="Arial Unicode MS"/>
      <w:b/>
    </w:rPr>
  </w:style>
  <w:style w:type="paragraph" w:customStyle="1" w:styleId="SchHeading3Restart">
    <w:name w:val="Sch Heading 3 Restart"/>
    <w:basedOn w:val="SchHeading3"/>
    <w:next w:val="Body3"/>
    <w:link w:val="SchHeading3RestartChar"/>
    <w:uiPriority w:val="13"/>
    <w:semiHidden/>
    <w:rsid w:val="00AD2466"/>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AD2466"/>
    <w:rPr>
      <w:rFonts w:eastAsia="Arial Unicode MS"/>
      <w:b/>
    </w:rPr>
  </w:style>
  <w:style w:type="paragraph" w:customStyle="1" w:styleId="CentredHeadingCover">
    <w:name w:val="Centred Heading Cover"/>
    <w:basedOn w:val="CentredHeading"/>
    <w:uiPriority w:val="13"/>
    <w:semiHidden/>
    <w:unhideWhenUsed/>
    <w:rsid w:val="005045A9"/>
  </w:style>
  <w:style w:type="paragraph" w:styleId="Revision">
    <w:name w:val="Revision"/>
    <w:hidden/>
    <w:uiPriority w:val="99"/>
    <w:semiHidden/>
    <w:rsid w:val="003A37FD"/>
    <w:pPr>
      <w:spacing w:line="240" w:lineRule="auto"/>
      <w:jc w:val="left"/>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Arial"/>
        <a:cs typeface="Arial"/>
      </a:majorFont>
      <a:minorFont>
        <a:latin typeface="Georgia"/>
        <a:ea typeface="Georgia"/>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ocument xmlns="http://hoganlovells.com/word2010/custom">
  <fields>
    <field id="Author" dmfield="AUTHOR_ID" type="string"/>
    <field id="AuthorName" dmfield="" type="string"/>
    <field id="ClientNumber" dmfield="CLIENT_ID" type="string"/>
    <field id="MatterNumber" dmfield="MATTER_ID" type="string"/>
    <field id="DocumentType" dmfield="TYPE_ID" type="string"/>
    <field id="DocumentTitle" dmfield="DOCNAME" type="string"/>
    <field id="DocumentNumber" dmfield="DOCNUM" type="string"/>
    <field id="Library" dmfield="" type="string"/>
    <field id="Version" dmfield="" type="string"/>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s>
</customdocument>
</file>

<file path=customXml/itemProps1.xml><?xml version="1.0" encoding="utf-8"?>
<ds:datastoreItem xmlns:ds="http://schemas.openxmlformats.org/officeDocument/2006/customXml" ds:itemID="{48930491-019F-4876-A802-CCA9DD5B0918}">
  <ds:schemaRefs>
    <ds:schemaRef ds:uri="http://hoganlovells.com/word2010/custom"/>
  </ds:schemaRefs>
</ds:datastoreItem>
</file>

<file path=docProps/app.xml><?xml version="1.0" encoding="utf-8"?>
<Properties xmlns="http://schemas.openxmlformats.org/officeDocument/2006/extended-properties" xmlns:vt="http://schemas.openxmlformats.org/officeDocument/2006/docPropsVTypes">
  <Template>Blank Document</Template>
  <TotalTime>2</TotalTime>
  <Pages>3</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Ramesh Vaswana</cp:lastModifiedBy>
  <cp:revision>2</cp:revision>
  <dcterms:created xsi:type="dcterms:W3CDTF">2025-05-21T07:58:00Z</dcterms:created>
  <dcterms:modified xsi:type="dcterms:W3CDTF">2025-05-21T13:24:00Z</dcterms:modified>
</cp:coreProperties>
</file>